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524016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3BC906AB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2326CAE7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EF7EE6" w14:paraId="16DA3B5E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7688BCB2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0B4FAB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02244A">
              <w:rPr>
                <w:rFonts w:ascii="Arial" w:eastAsia="ＭＳ ゴシック" w:hAnsi="Arial" w:cs="Arial" w:hint="eastAsia"/>
                <w:sz w:val="14"/>
                <w:szCs w:val="20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AB09AE" w:rsidRPr="00A1000F">
              <w:rPr>
                <w:rFonts w:ascii="Arial" w:eastAsia="ＭＳ ゴシック" w:hAnsi="Arial" w:cs="Arial"/>
                <w:sz w:val="14"/>
                <w:szCs w:val="20"/>
              </w:rPr>
              <w:t>12</w:t>
            </w:r>
            <w:r w:rsidRPr="00C7756A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日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時点）</w:t>
            </w:r>
          </w:p>
        </w:tc>
        <w:tc>
          <w:tcPr>
            <w:tcW w:w="4107" w:type="dxa"/>
            <w:vAlign w:val="center"/>
          </w:tcPr>
          <w:p w14:paraId="00BCBBEE" w14:textId="76BBF557" w:rsidR="005B2B9C" w:rsidRPr="00B30F5B" w:rsidRDefault="00C7756A" w:rsidP="00D93D1C">
            <w:pPr>
              <w:jc w:val="center"/>
              <w:rPr>
                <w:szCs w:val="20"/>
              </w:rPr>
            </w:pPr>
            <w:r w:rsidRPr="00A1000F">
              <w:rPr>
                <w:szCs w:val="20"/>
              </w:rPr>
              <w:t>48.70</w:t>
            </w:r>
            <w:r w:rsidRPr="00A1000F">
              <w:rPr>
                <w:rFonts w:hint="eastAsia"/>
                <w:szCs w:val="20"/>
              </w:rPr>
              <w:t>円</w:t>
            </w:r>
          </w:p>
        </w:tc>
        <w:tc>
          <w:tcPr>
            <w:tcW w:w="4394" w:type="dxa"/>
            <w:vAlign w:val="center"/>
          </w:tcPr>
          <w:p w14:paraId="63823FE6" w14:textId="437A41ED" w:rsidR="005B2B9C" w:rsidRPr="00B30F5B" w:rsidRDefault="005A22A0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96.00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524016" w14:paraId="638CCD5F" w14:textId="77777777" w:rsidTr="00524016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524016" w:rsidRPr="001C6C05" w:rsidRDefault="0052401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31DFEFC2" w14:textId="77777777" w:rsidR="00524016" w:rsidRPr="00802350" w:rsidRDefault="00524016" w:rsidP="00D93D1C">
            <w:pPr>
              <w:jc w:val="center"/>
              <w:rPr>
                <w:szCs w:val="20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</w:tc>
        <w:tc>
          <w:tcPr>
            <w:tcW w:w="4394" w:type="dxa"/>
            <w:vAlign w:val="center"/>
          </w:tcPr>
          <w:p w14:paraId="3EFC3641" w14:textId="77777777" w:rsidR="00524016" w:rsidRDefault="00524016" w:rsidP="00D93D1C">
            <w:pPr>
              <w:jc w:val="center"/>
              <w:rPr>
                <w:sz w:val="18"/>
                <w:szCs w:val="18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  <w:p w14:paraId="48C5B3BA" w14:textId="2D543554" w:rsidR="00524016" w:rsidRPr="00802350" w:rsidRDefault="00524016" w:rsidP="00367E8E">
            <w:pPr>
              <w:ind w:leftChars="-150" w:left="-287" w:rightChars="-150" w:right="-287"/>
              <w:jc w:val="center"/>
              <w:rPr>
                <w:szCs w:val="20"/>
              </w:rPr>
            </w:pPr>
            <w:r w:rsidRPr="00367E8E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367E8E">
              <w:rPr>
                <w:sz w:val="16"/>
                <w:szCs w:val="16"/>
              </w:rPr>
              <w:t>6.15mg</w:t>
            </w:r>
            <w:r w:rsidRPr="00367E8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</w:tcPr>
          <w:p w14:paraId="32F438B8" w14:textId="54F8F531" w:rsidR="005B2B9C" w:rsidRPr="00BA799C" w:rsidRDefault="0043200B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BA799C" w:rsidRDefault="00681B3C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  <w:r w:rsidRPr="00BA799C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sz w:val="18"/>
                <w:szCs w:val="18"/>
                <w:lang w:eastAsia="zh-TW"/>
              </w:rPr>
              <w:t>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BA799C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BA799C" w:rsidRDefault="00681B3C" w:rsidP="0043200B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BA799C" w:rsidRDefault="00585137" w:rsidP="0043200B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BA799C" w:rsidRDefault="00585137" w:rsidP="00BA799C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BA799C" w:rsidRDefault="00585137" w:rsidP="0043200B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BA799C" w:rsidRDefault="00681B3C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BA799C" w:rsidRDefault="00585137" w:rsidP="0043200B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524016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38972631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C27673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406150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451444A4" w:rsidR="008F5291" w:rsidRPr="00A21642" w:rsidRDefault="008F5291" w:rsidP="008F5291">
                  <w:pPr>
                    <w:ind w:leftChars="-17" w:rightChars="-15" w:right="-29" w:hangingChars="17" w:hanging="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845D58" wp14:editId="7687FE86">
                        <wp:extent cx="447675" cy="447675"/>
                        <wp:effectExtent l="0" t="0" r="9525" b="9525"/>
                        <wp:docPr id="17380007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1792A4D2" w:rsidR="008F5291" w:rsidRPr="00A21642" w:rsidRDefault="008F5291" w:rsidP="008F5291">
                  <w:pPr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AB1C97" wp14:editId="27800D39">
                        <wp:extent cx="447675" cy="447675"/>
                        <wp:effectExtent l="0" t="0" r="9525" b="9525"/>
                        <wp:docPr id="200393737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349924EB" w:rsidR="008F5291" w:rsidRPr="00A21642" w:rsidRDefault="008F5291" w:rsidP="008F5291">
                  <w:pPr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255B03" wp14:editId="67C5BA11">
                        <wp:extent cx="447675" cy="447675"/>
                        <wp:effectExtent l="0" t="0" r="9525" b="9525"/>
                        <wp:docPr id="24011200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28BC8AF9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06BCDB1F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Pr="00A21642">
                    <w:rPr>
                      <w:sz w:val="18"/>
                      <w:szCs w:val="18"/>
                    </w:rPr>
                    <w:t>2.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20121496" w:rsidR="008F5291" w:rsidRPr="00A21642" w:rsidRDefault="0043200B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8F5291" w:rsidRPr="00A21642">
                    <w:rPr>
                      <w:sz w:val="18"/>
                      <w:szCs w:val="18"/>
                    </w:rPr>
                    <w:t>7</w:t>
                  </w:r>
                  <w:r w:rsidR="008F5291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0909D07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Pr="008F5291">
              <w:rPr>
                <w:rFonts w:hint="eastAsia"/>
                <w:sz w:val="18"/>
                <w:szCs w:val="18"/>
              </w:rPr>
              <w:t>5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77777777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淡黄色～黄色の円形のフィルムコーティング錠</w:t>
            </w:r>
          </w:p>
          <w:p w14:paraId="10FF03CA" w14:textId="01817D87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直径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7.1mm</w:t>
            </w:r>
          </w:p>
          <w:p w14:paraId="3CD6FAE2" w14:textId="6985A935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3.2mm</w:t>
            </w:r>
          </w:p>
          <w:p w14:paraId="24E01BFC" w14:textId="37130493" w:rsidR="008F5291" w:rsidRPr="00E14C9B" w:rsidRDefault="00BA799C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130mg</w:t>
            </w:r>
          </w:p>
        </w:tc>
      </w:tr>
      <w:tr w:rsidR="00575A26" w14:paraId="5F53EBDE" w14:textId="77777777" w:rsidTr="00524016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7665D1BA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B2BD025" wp14:editId="1ADB6865">
                  <wp:extent cx="2452845" cy="1772441"/>
                  <wp:effectExtent l="0" t="0" r="5080" b="0"/>
                  <wp:docPr id="1241339770" name="図 6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39770" name="図 6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497" cy="179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3B0A77A" w14:textId="006446BE" w:rsidR="007A48D8" w:rsidRDefault="007A48D8" w:rsidP="00D93D1C">
            <w:pPr>
              <w:ind w:left="-5" w:hanging="6"/>
              <w:rPr>
                <w:szCs w:val="20"/>
              </w:rPr>
            </w:pPr>
            <w:r>
              <w:rPr>
                <w:rFonts w:hint="eastAsia"/>
                <w:szCs w:val="20"/>
              </w:rPr>
              <w:t>（参考データ）</w:t>
            </w:r>
          </w:p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524016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A896606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「含量が異なる経口固形製剤の生物学的同等性試験ガイドライン」に基づき判定した結果、ダパグリフロジン錠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5</w:t>
            </w:r>
            <w:r w:rsidRPr="00BA799C">
              <w:rPr>
                <w:sz w:val="18"/>
                <w:szCs w:val="18"/>
              </w:rPr>
              <w:t>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」の溶出挙動は同等と判定され、両製剤は生物学的に同等であるとみなされた。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5506FDAD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</w:t>
            </w:r>
            <w:r w:rsidRPr="00BA799C">
              <w:rPr>
                <w:rFonts w:hint="eastAsia"/>
                <w:sz w:val="18"/>
                <w:szCs w:val="18"/>
              </w:rPr>
              <w:t>フォシーガ</w:t>
            </w:r>
            <w:r w:rsidRPr="00BA799C">
              <w:rPr>
                <w:sz w:val="18"/>
                <w:szCs w:val="18"/>
              </w:rPr>
              <w:t>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23C01467" w:rsidR="005B2B9C" w:rsidRDefault="005B2B9C" w:rsidP="000F3CFE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02244A">
        <w:rPr>
          <w:rFonts w:hint="eastAsia"/>
        </w:rPr>
        <w:t>6</w:t>
      </w:r>
      <w:r>
        <w:rPr>
          <w:rFonts w:hint="eastAsia"/>
        </w:rPr>
        <w:t>月</w:t>
      </w:r>
    </w:p>
    <w:sectPr w:rsidR="005B2B9C" w:rsidSect="00367E8E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03D2" w14:textId="77777777" w:rsidR="00CE13FD" w:rsidRDefault="00CE13FD">
      <w:r>
        <w:separator/>
      </w:r>
    </w:p>
  </w:endnote>
  <w:endnote w:type="continuationSeparator" w:id="0">
    <w:p w14:paraId="372156C3" w14:textId="77777777" w:rsidR="00CE13FD" w:rsidRDefault="00CE13FD">
      <w:r>
        <w:continuationSeparator/>
      </w:r>
    </w:p>
  </w:endnote>
  <w:endnote w:type="continuationNotice" w:id="1">
    <w:p w14:paraId="4681237F" w14:textId="77777777" w:rsidR="00CE13FD" w:rsidRDefault="00CE1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BE0D" w14:textId="77777777" w:rsidR="00CE13FD" w:rsidRDefault="00CE13FD">
      <w:r>
        <w:separator/>
      </w:r>
    </w:p>
  </w:footnote>
  <w:footnote w:type="continuationSeparator" w:id="0">
    <w:p w14:paraId="27A32EA4" w14:textId="77777777" w:rsidR="00CE13FD" w:rsidRDefault="00CE13FD">
      <w:r>
        <w:continuationSeparator/>
      </w:r>
    </w:p>
  </w:footnote>
  <w:footnote w:type="continuationNotice" w:id="1">
    <w:p w14:paraId="6D43D0B5" w14:textId="77777777" w:rsidR="00CE13FD" w:rsidRDefault="00CE1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244A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60BF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4FAB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0F3CFE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550CD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1C05"/>
    <w:rsid w:val="002F4E60"/>
    <w:rsid w:val="002F600C"/>
    <w:rsid w:val="002F744D"/>
    <w:rsid w:val="0030517A"/>
    <w:rsid w:val="00306545"/>
    <w:rsid w:val="003126C3"/>
    <w:rsid w:val="00314932"/>
    <w:rsid w:val="00314E5A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67E8E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2C80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200B"/>
    <w:rsid w:val="00436F03"/>
    <w:rsid w:val="00437F62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5152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016"/>
    <w:rsid w:val="00525FA1"/>
    <w:rsid w:val="00532337"/>
    <w:rsid w:val="005337EB"/>
    <w:rsid w:val="00544B21"/>
    <w:rsid w:val="00545504"/>
    <w:rsid w:val="00550AF7"/>
    <w:rsid w:val="00563FF9"/>
    <w:rsid w:val="00564D2C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2A0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3191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1034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3C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6B3E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4B0B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FB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3FA2"/>
    <w:rsid w:val="00995F0B"/>
    <w:rsid w:val="009971DF"/>
    <w:rsid w:val="009A3D0D"/>
    <w:rsid w:val="009A5ABE"/>
    <w:rsid w:val="009A65DC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000F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B09AE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70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A799C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27673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7756A"/>
    <w:rsid w:val="00C851AE"/>
    <w:rsid w:val="00C902FC"/>
    <w:rsid w:val="00C9213D"/>
    <w:rsid w:val="00C979C8"/>
    <w:rsid w:val="00CA409E"/>
    <w:rsid w:val="00CB50D0"/>
    <w:rsid w:val="00CB7F28"/>
    <w:rsid w:val="00CC0A3D"/>
    <w:rsid w:val="00CC132D"/>
    <w:rsid w:val="00CC2CD1"/>
    <w:rsid w:val="00CC5333"/>
    <w:rsid w:val="00CD58E3"/>
    <w:rsid w:val="00CE13FD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5ED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5215"/>
    <w:rsid w:val="00DE63BB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52DB"/>
    <w:rsid w:val="00E45820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7637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7DC0-3CF0-484A-8C46-08C680FF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SUEMATSU YURI/末松 佑理</dc:creator>
  <cp:keywords/>
  <cp:lastModifiedBy>SUEMATSU YURI/末松 佑理</cp:lastModifiedBy>
  <cp:revision>5</cp:revision>
  <dcterms:created xsi:type="dcterms:W3CDTF">2026-05-27T07:54:00Z</dcterms:created>
  <dcterms:modified xsi:type="dcterms:W3CDTF">2026-06-10T07:58:00Z</dcterms:modified>
</cp:coreProperties>
</file>