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EAAD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287"/>
        <w:gridCol w:w="4286"/>
      </w:tblGrid>
      <w:tr w:rsidR="008E4A0D" w14:paraId="4559B2FE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6364D546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7" w:type="dxa"/>
            <w:vAlign w:val="center"/>
          </w:tcPr>
          <w:p w14:paraId="2E56C3F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51A86C9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0812F14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1D349C9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0667BF99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552DFE4A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E609B19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56F7F612" w14:textId="77777777" w:rsidR="00B016F8" w:rsidRPr="00075F31" w:rsidRDefault="003B4505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01A7E849" w14:textId="77777777" w:rsidR="00B016F8" w:rsidRPr="004E34DB" w:rsidRDefault="00DC4BEA" w:rsidP="0099246A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トアラセット</w:t>
            </w:r>
            <w:r w:rsidR="003B2424">
              <w:rPr>
                <w:rFonts w:ascii="Arial" w:eastAsia="ＭＳ ゴシック" w:hAnsi="Arial" w:hint="eastAsia"/>
              </w:rPr>
              <w:t>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2186E089" w14:textId="11831724" w:rsidR="00B016F8" w:rsidRPr="000441D5" w:rsidRDefault="000441D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0441D5">
              <w:rPr>
                <w:rFonts w:ascii="Arial" w:eastAsia="ＭＳ ゴシック" w:hAnsi="Arial" w:cs="Arial" w:hint="eastAsia"/>
              </w:rPr>
              <w:t>トラムセット配合錠</w:t>
            </w:r>
          </w:p>
        </w:tc>
      </w:tr>
      <w:tr w:rsidR="00B016F8" w14:paraId="60EC5950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6B2ADD5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66795CAB" w14:textId="2C01943A" w:rsidR="00B016F8" w:rsidRPr="0099246A" w:rsidRDefault="000441D5" w:rsidP="00A22F49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7.90</w:t>
            </w:r>
            <w:r w:rsidR="00BD3155" w:rsidRPr="0099246A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6" w:type="dxa"/>
            <w:vAlign w:val="center"/>
          </w:tcPr>
          <w:p w14:paraId="58E4E9DB" w14:textId="1B197355" w:rsidR="00B016F8" w:rsidRPr="0099246A" w:rsidRDefault="000441D5" w:rsidP="00C519A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31.70</w:t>
            </w:r>
            <w:r w:rsidR="00B016F8" w:rsidRPr="0099246A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67E2D453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3A1F18E2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3" w:type="dxa"/>
            <w:gridSpan w:val="2"/>
            <w:tcMar>
              <w:left w:w="0" w:type="dxa"/>
              <w:right w:w="0" w:type="dxa"/>
            </w:tcMar>
            <w:vAlign w:val="center"/>
          </w:tcPr>
          <w:p w14:paraId="560A6573" w14:textId="77777777" w:rsidR="005C12AD" w:rsidRPr="009E1EE1" w:rsidRDefault="00FB245A" w:rsidP="0099246A">
            <w:pPr>
              <w:ind w:firstLineChars="65" w:firstLine="124"/>
              <w:rPr>
                <w:szCs w:val="20"/>
              </w:rPr>
            </w:pPr>
            <w:r w:rsidRPr="009E1EE1">
              <w:rPr>
                <w:rFonts w:hint="eastAsia"/>
                <w:szCs w:val="20"/>
              </w:rPr>
              <w:t>1</w:t>
            </w:r>
            <w:r w:rsidRPr="009E1EE1">
              <w:rPr>
                <w:rFonts w:hint="eastAsia"/>
                <w:szCs w:val="20"/>
              </w:rPr>
              <w:t>錠中</w:t>
            </w:r>
            <w:r w:rsidR="00191847" w:rsidRPr="009E1EE1">
              <w:rPr>
                <w:rFonts w:hint="eastAsia"/>
                <w:szCs w:val="20"/>
              </w:rPr>
              <w:t>に</w:t>
            </w:r>
            <w:r w:rsidR="00F01D26" w:rsidRPr="0099246A">
              <w:rPr>
                <w:rFonts w:ascii="ＭＳ ゴシック" w:eastAsia="ＭＳ ゴシック" w:hAnsi="ＭＳ ゴシック" w:hint="eastAsia"/>
                <w:szCs w:val="20"/>
              </w:rPr>
              <w:t>トラマドール塩酸塩</w:t>
            </w:r>
            <w:r w:rsidR="007714DF" w:rsidRPr="0099246A">
              <w:rPr>
                <w:rFonts w:ascii="ＭＳ ゴシック" w:eastAsia="ＭＳ ゴシック" w:hAnsi="ＭＳ ゴシック" w:hint="eastAsia"/>
                <w:szCs w:val="20"/>
              </w:rPr>
              <w:t>（日局）</w:t>
            </w:r>
            <w:r w:rsidR="00F01D26" w:rsidRPr="00F01D26">
              <w:rPr>
                <w:rFonts w:hint="eastAsia"/>
                <w:szCs w:val="20"/>
              </w:rPr>
              <w:t>37.5mg</w:t>
            </w:r>
            <w:r w:rsidRPr="009E1EE1">
              <w:rPr>
                <w:rFonts w:hint="eastAsia"/>
                <w:szCs w:val="20"/>
              </w:rPr>
              <w:t>及び</w:t>
            </w:r>
            <w:r w:rsidR="00F01D26" w:rsidRPr="0099246A">
              <w:rPr>
                <w:rFonts w:ascii="ＭＳ ゴシック" w:eastAsia="ＭＳ ゴシック" w:hAnsi="ＭＳ ゴシック" w:hint="eastAsia"/>
                <w:szCs w:val="20"/>
              </w:rPr>
              <w:t>アセトアミノフェン</w:t>
            </w:r>
            <w:r w:rsidR="007714DF" w:rsidRPr="0099246A">
              <w:rPr>
                <w:rFonts w:ascii="ＭＳ ゴシック" w:eastAsia="ＭＳ ゴシック" w:hAnsi="ＭＳ ゴシック" w:hint="eastAsia"/>
                <w:szCs w:val="20"/>
              </w:rPr>
              <w:t>（日局）</w:t>
            </w:r>
            <w:r w:rsidR="00F01D26" w:rsidRPr="00F01D26">
              <w:rPr>
                <w:rFonts w:hint="eastAsia"/>
                <w:szCs w:val="20"/>
              </w:rPr>
              <w:t>325mg</w:t>
            </w:r>
            <w:r w:rsidRPr="009E1EE1">
              <w:rPr>
                <w:rFonts w:hint="eastAsia"/>
                <w:szCs w:val="20"/>
              </w:rPr>
              <w:t>を含有</w:t>
            </w:r>
          </w:p>
        </w:tc>
      </w:tr>
      <w:tr w:rsidR="005D7609" w14:paraId="71B4EB2F" w14:textId="77777777" w:rsidTr="003B4505">
        <w:trPr>
          <w:trHeight w:hRule="exact" w:val="1329"/>
        </w:trPr>
        <w:tc>
          <w:tcPr>
            <w:tcW w:w="1561" w:type="dxa"/>
            <w:vAlign w:val="center"/>
          </w:tcPr>
          <w:p w14:paraId="7ABF5088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7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88173C9" w14:textId="77777777" w:rsidR="005D7609" w:rsidRPr="009E1EE1" w:rsidRDefault="00F01D26" w:rsidP="00755F41">
            <w:pPr>
              <w:pStyle w:val="L3b"/>
              <w:ind w:leftChars="-34" w:left="-65" w:rightChars="-16" w:right="-31"/>
            </w:pPr>
            <w:r w:rsidRPr="00F01D26">
              <w:rPr>
                <w:rFonts w:cs="Ryumin-regular" w:hint="eastAsia"/>
              </w:rPr>
              <w:t>アルファー化デンプン</w:t>
            </w:r>
            <w:r w:rsidR="007714DF">
              <w:rPr>
                <w:rFonts w:cs="Ryumin-regular" w:hint="eastAsia"/>
              </w:rPr>
              <w:t>、</w:t>
            </w:r>
            <w:r w:rsidRPr="00F01D26">
              <w:rPr>
                <w:rFonts w:cs="Ryumin-regular" w:hint="eastAsia"/>
              </w:rPr>
              <w:t>粉末セルロース、デンプングリコール酸ナトリウム、トウモロコシデンプン、ステアリン酸マグネシウム、ヒプロメロース、</w:t>
            </w:r>
            <w:r w:rsidR="007714DF" w:rsidRPr="00F01D26">
              <w:rPr>
                <w:rFonts w:cs="Ryumin-regular" w:hint="eastAsia"/>
              </w:rPr>
              <w:t>マクロゴール</w:t>
            </w:r>
            <w:r w:rsidR="007714DF" w:rsidRPr="00F01D26">
              <w:rPr>
                <w:rFonts w:cs="Ryumin-regular" w:hint="eastAsia"/>
              </w:rPr>
              <w:t>400</w:t>
            </w:r>
            <w:r w:rsidR="007714DF" w:rsidRPr="00F01D26">
              <w:rPr>
                <w:rFonts w:cs="Ryumin-regular" w:hint="eastAsia"/>
              </w:rPr>
              <w:t>、ポリソルベート</w:t>
            </w:r>
            <w:r w:rsidR="007714DF" w:rsidRPr="00F01D26">
              <w:rPr>
                <w:rFonts w:cs="Ryumin-regular" w:hint="eastAsia"/>
              </w:rPr>
              <w:t>80</w:t>
            </w:r>
            <w:r w:rsidR="007714DF">
              <w:rPr>
                <w:rFonts w:cs="Ryumin-regular" w:hint="eastAsia"/>
              </w:rPr>
              <w:t>､</w:t>
            </w:r>
            <w:r w:rsidRPr="00F01D26">
              <w:rPr>
                <w:rFonts w:cs="Ryumin-regular" w:hint="eastAsia"/>
              </w:rPr>
              <w:t>酸化チタン</w:t>
            </w:r>
            <w:r w:rsidR="007714DF">
              <w:rPr>
                <w:rFonts w:cs="Ryumin-regular" w:hint="eastAsia"/>
              </w:rPr>
              <w:t>、</w:t>
            </w:r>
            <w:r w:rsidRPr="00F01D26">
              <w:rPr>
                <w:rFonts w:cs="Ryumin-regular" w:hint="eastAsia"/>
              </w:rPr>
              <w:t>黄色三二酸化鉄</w:t>
            </w:r>
            <w:r w:rsidR="007714DF">
              <w:rPr>
                <w:rFonts w:cs="Ryumin-regular" w:hint="eastAsia"/>
              </w:rPr>
              <w:t>、</w:t>
            </w:r>
            <w:r w:rsidRPr="00F01D26">
              <w:rPr>
                <w:rFonts w:cs="Ryumin-regular" w:hint="eastAsia"/>
              </w:rPr>
              <w:t>カルナウバロウ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9439B98" w14:textId="77777777" w:rsidR="009E1EE1" w:rsidRPr="003A1A36" w:rsidRDefault="00F01D26" w:rsidP="00755F41">
            <w:pPr>
              <w:widowControl w:val="0"/>
              <w:autoSpaceDE w:val="0"/>
              <w:autoSpaceDN w:val="0"/>
              <w:adjustRightInd w:val="0"/>
              <w:rPr>
                <w:rFonts w:cs="ＭＳ 明朝"/>
                <w:szCs w:val="20"/>
              </w:rPr>
            </w:pPr>
            <w:r w:rsidRPr="003A1A36">
              <w:rPr>
                <w:rFonts w:cs="ＭＳ 明朝"/>
                <w:szCs w:val="20"/>
              </w:rPr>
              <w:t>粉末セルロース、アルファー化デンプン、デンプングリコール酸ナトリウム、トウモロコシデンプン、ステアリン酸マグネシウム、ヒプロメロース、酸化チタン、マクロゴール</w:t>
            </w:r>
            <w:r w:rsidRPr="003A1A36">
              <w:rPr>
                <w:rFonts w:cs="ＭＳ 明朝"/>
                <w:szCs w:val="20"/>
              </w:rPr>
              <w:t>400</w:t>
            </w:r>
            <w:r w:rsidRPr="003A1A36">
              <w:rPr>
                <w:rFonts w:cs="ＭＳ 明朝"/>
                <w:szCs w:val="20"/>
              </w:rPr>
              <w:t>、黄色三二酸化鉄、ポリソルベート</w:t>
            </w:r>
            <w:r w:rsidRPr="003A1A36">
              <w:rPr>
                <w:rFonts w:cs="ＭＳ 明朝"/>
                <w:szCs w:val="20"/>
              </w:rPr>
              <w:t>80</w:t>
            </w:r>
            <w:r w:rsidRPr="003A1A36">
              <w:rPr>
                <w:rFonts w:cs="ＭＳ 明朝"/>
                <w:szCs w:val="20"/>
              </w:rPr>
              <w:t>、カルナウバロウ</w:t>
            </w:r>
          </w:p>
        </w:tc>
      </w:tr>
      <w:tr w:rsidR="00ED6938" w14:paraId="24412696" w14:textId="77777777" w:rsidTr="003B4505">
        <w:trPr>
          <w:trHeight w:val="283"/>
        </w:trPr>
        <w:tc>
          <w:tcPr>
            <w:tcW w:w="1561" w:type="dxa"/>
            <w:vAlign w:val="center"/>
          </w:tcPr>
          <w:p w14:paraId="44AF6987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3" w:type="dxa"/>
            <w:gridSpan w:val="2"/>
            <w:vAlign w:val="center"/>
          </w:tcPr>
          <w:p w14:paraId="187038D6" w14:textId="77777777" w:rsidR="009E1EE1" w:rsidRPr="009E1EE1" w:rsidRDefault="00F01D26" w:rsidP="009E1E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F01D26">
              <w:rPr>
                <w:rFonts w:hint="eastAsia"/>
                <w:szCs w:val="20"/>
              </w:rPr>
              <w:t>慢性疼痛</w:t>
            </w:r>
            <w:r w:rsidRPr="00F01D26">
              <w:rPr>
                <w:rFonts w:hint="eastAsia"/>
                <w:szCs w:val="20"/>
              </w:rPr>
              <w:t>/</w:t>
            </w:r>
            <w:r w:rsidRPr="00F01D26">
              <w:rPr>
                <w:rFonts w:hint="eastAsia"/>
                <w:szCs w:val="20"/>
              </w:rPr>
              <w:t>抜歯後疼痛治療剤</w:t>
            </w:r>
          </w:p>
        </w:tc>
      </w:tr>
      <w:tr w:rsidR="00404F12" w14:paraId="09A4A0F0" w14:textId="77777777" w:rsidTr="003B4505">
        <w:trPr>
          <w:trHeight w:val="318"/>
        </w:trPr>
        <w:tc>
          <w:tcPr>
            <w:tcW w:w="1561" w:type="dxa"/>
            <w:vAlign w:val="center"/>
          </w:tcPr>
          <w:p w14:paraId="72720ED9" w14:textId="77777777" w:rsidR="00404F12" w:rsidRPr="00075F31" w:rsidRDefault="00404F12" w:rsidP="00C659C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3" w:type="dxa"/>
            <w:gridSpan w:val="2"/>
            <w:tcMar>
              <w:top w:w="28" w:type="dxa"/>
              <w:bottom w:w="11" w:type="dxa"/>
            </w:tcMar>
            <w:vAlign w:val="center"/>
          </w:tcPr>
          <w:p w14:paraId="1CB08A2E" w14:textId="77777777" w:rsidR="00EE0F51" w:rsidRPr="00EE0F51" w:rsidRDefault="00EE0F51" w:rsidP="00755F41">
            <w:pPr>
              <w:jc w:val="both"/>
              <w:rPr>
                <w:rFonts w:ascii="ＭＳ 明朝" w:hAnsi="ＭＳ 明朝"/>
                <w:szCs w:val="20"/>
              </w:rPr>
            </w:pPr>
            <w:r w:rsidRPr="00EE0F51">
              <w:rPr>
                <w:rFonts w:ascii="ＭＳ 明朝" w:hAnsi="ＭＳ 明朝" w:hint="eastAsia"/>
                <w:szCs w:val="20"/>
              </w:rPr>
              <w:t>非オピオイド鎮痛剤で治療困難な下記疾患における鎮痛</w:t>
            </w:r>
          </w:p>
          <w:p w14:paraId="3BB1B731" w14:textId="77777777" w:rsidR="00EE0F51" w:rsidRPr="00EE0F51" w:rsidRDefault="00EE0F51" w:rsidP="00755F41">
            <w:pPr>
              <w:ind w:firstLineChars="100" w:firstLine="191"/>
              <w:jc w:val="both"/>
              <w:rPr>
                <w:rFonts w:ascii="ＭＳ 明朝" w:hAnsi="ＭＳ 明朝"/>
                <w:szCs w:val="20"/>
              </w:rPr>
            </w:pPr>
            <w:r w:rsidRPr="00EE0F51">
              <w:rPr>
                <w:rFonts w:ascii="ＭＳ 明朝" w:hAnsi="ＭＳ 明朝" w:hint="eastAsia"/>
                <w:szCs w:val="20"/>
              </w:rPr>
              <w:t>非がん性慢性疼痛</w:t>
            </w:r>
          </w:p>
          <w:p w14:paraId="2BCD9A49" w14:textId="77777777" w:rsidR="00046108" w:rsidRPr="00046108" w:rsidRDefault="00EE0F51" w:rsidP="00755F41">
            <w:pPr>
              <w:ind w:firstLineChars="100" w:firstLine="191"/>
              <w:jc w:val="both"/>
              <w:rPr>
                <w:rFonts w:ascii="ＭＳ 明朝" w:hAnsi="ＭＳ 明朝"/>
                <w:szCs w:val="20"/>
              </w:rPr>
            </w:pPr>
            <w:r w:rsidRPr="00EE0F51">
              <w:rPr>
                <w:rFonts w:ascii="ＭＳ 明朝" w:hAnsi="ＭＳ 明朝" w:hint="eastAsia"/>
                <w:szCs w:val="20"/>
              </w:rPr>
              <w:t>抜歯後の疼痛</w:t>
            </w:r>
          </w:p>
        </w:tc>
      </w:tr>
      <w:tr w:rsidR="009B2862" w14:paraId="48BE5047" w14:textId="77777777" w:rsidTr="003B4505">
        <w:trPr>
          <w:trHeight w:val="697"/>
        </w:trPr>
        <w:tc>
          <w:tcPr>
            <w:tcW w:w="1561" w:type="dxa"/>
            <w:tcMar>
              <w:top w:w="57" w:type="dxa"/>
              <w:bottom w:w="57" w:type="dxa"/>
            </w:tcMar>
            <w:vAlign w:val="center"/>
          </w:tcPr>
          <w:p w14:paraId="0BBED66E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3" w:type="dxa"/>
            <w:gridSpan w:val="2"/>
            <w:tcMar>
              <w:top w:w="17" w:type="dxa"/>
              <w:bottom w:w="17" w:type="dxa"/>
            </w:tcMar>
            <w:vAlign w:val="center"/>
          </w:tcPr>
          <w:p w14:paraId="3334F920" w14:textId="77777777" w:rsidR="00EE0F51" w:rsidRPr="00EE0F51" w:rsidRDefault="00EE0F51" w:rsidP="00755F41">
            <w:pPr>
              <w:pStyle w:val="L2b"/>
              <w:numPr>
                <w:ilvl w:val="0"/>
                <w:numId w:val="12"/>
              </w:numPr>
              <w:ind w:left="174" w:hanging="196"/>
              <w:rPr>
                <w:rFonts w:cs="ＭＳ 明朝"/>
              </w:rPr>
            </w:pPr>
            <w:r w:rsidRPr="0099246A">
              <w:rPr>
                <w:rFonts w:ascii="ＭＳ ゴシック" w:eastAsia="ＭＳ ゴシック" w:hAnsi="ＭＳ ゴシック" w:cs="ＭＳ 明朝" w:hint="eastAsia"/>
              </w:rPr>
              <w:t>非がん性慢性疼痛</w:t>
            </w:r>
            <w:r w:rsidRPr="00EE0F51">
              <w:rPr>
                <w:rFonts w:cs="ＭＳ 明朝" w:hint="eastAsia"/>
              </w:rPr>
              <w:t>：</w:t>
            </w:r>
          </w:p>
          <w:p w14:paraId="12461F30" w14:textId="77777777" w:rsidR="00EE0F51" w:rsidRPr="00EE0F51" w:rsidRDefault="00EE0F51" w:rsidP="00755F41">
            <w:pPr>
              <w:pStyle w:val="L2b"/>
              <w:ind w:leftChars="97" w:left="186"/>
              <w:rPr>
                <w:rFonts w:cs="ＭＳ 明朝"/>
              </w:rPr>
            </w:pPr>
            <w:r w:rsidRPr="00EE0F51">
              <w:rPr>
                <w:rFonts w:cs="ＭＳ 明朝" w:hint="eastAsia"/>
              </w:rPr>
              <w:t>通常、成人には、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回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錠、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日</w:t>
            </w:r>
            <w:r w:rsidRPr="00EE0F51">
              <w:rPr>
                <w:rFonts w:cs="ＭＳ 明朝" w:hint="eastAsia"/>
              </w:rPr>
              <w:t>4</w:t>
            </w:r>
            <w:r w:rsidRPr="00EE0F51">
              <w:rPr>
                <w:rFonts w:cs="ＭＳ 明朝" w:hint="eastAsia"/>
              </w:rPr>
              <w:t>回経口投与する。投与間隔は</w:t>
            </w:r>
            <w:r w:rsidRPr="00EE0F51">
              <w:rPr>
                <w:rFonts w:cs="ＭＳ 明朝" w:hint="eastAsia"/>
              </w:rPr>
              <w:t>4</w:t>
            </w:r>
            <w:r w:rsidRPr="00EE0F51">
              <w:rPr>
                <w:rFonts w:cs="ＭＳ 明朝" w:hint="eastAsia"/>
              </w:rPr>
              <w:t>時間以上空けること。</w:t>
            </w:r>
          </w:p>
          <w:p w14:paraId="272730C2" w14:textId="77777777" w:rsidR="00EE0F51" w:rsidRPr="00EE0F51" w:rsidRDefault="00EE0F51" w:rsidP="00755F41">
            <w:pPr>
              <w:pStyle w:val="L2b"/>
              <w:ind w:leftChars="97" w:left="186"/>
              <w:rPr>
                <w:rFonts w:cs="ＭＳ 明朝"/>
              </w:rPr>
            </w:pPr>
            <w:r w:rsidRPr="00EE0F51">
              <w:rPr>
                <w:rFonts w:cs="ＭＳ 明朝" w:hint="eastAsia"/>
              </w:rPr>
              <w:t>なお、症状に応じて適宜増減するが、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回</w:t>
            </w:r>
            <w:r w:rsidRPr="00EE0F51">
              <w:rPr>
                <w:rFonts w:cs="ＭＳ 明朝" w:hint="eastAsia"/>
              </w:rPr>
              <w:t>2</w:t>
            </w:r>
            <w:r w:rsidRPr="00EE0F51">
              <w:rPr>
                <w:rFonts w:cs="ＭＳ 明朝" w:hint="eastAsia"/>
              </w:rPr>
              <w:t>錠、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日</w:t>
            </w:r>
            <w:r w:rsidRPr="00EE0F51">
              <w:rPr>
                <w:rFonts w:cs="ＭＳ 明朝" w:hint="eastAsia"/>
              </w:rPr>
              <w:t>8</w:t>
            </w:r>
            <w:r w:rsidRPr="00EE0F51">
              <w:rPr>
                <w:rFonts w:cs="ＭＳ 明朝" w:hint="eastAsia"/>
              </w:rPr>
              <w:t>錠を超えて投与しないこと。また、空腹時の投与は避けることが望ましい。</w:t>
            </w:r>
          </w:p>
          <w:p w14:paraId="25863E6C" w14:textId="77777777" w:rsidR="00EE0F51" w:rsidRPr="00EE0F51" w:rsidRDefault="00EE0F51" w:rsidP="00755F41">
            <w:pPr>
              <w:pStyle w:val="L2b"/>
              <w:numPr>
                <w:ilvl w:val="0"/>
                <w:numId w:val="12"/>
              </w:numPr>
              <w:ind w:left="160" w:hanging="168"/>
              <w:rPr>
                <w:rFonts w:cs="ＭＳ 明朝"/>
              </w:rPr>
            </w:pPr>
            <w:r w:rsidRPr="0099246A">
              <w:rPr>
                <w:rFonts w:ascii="ＭＳ ゴシック" w:eastAsia="ＭＳ ゴシック" w:hAnsi="ＭＳ ゴシック" w:cs="ＭＳ 明朝" w:hint="eastAsia"/>
              </w:rPr>
              <w:t>抜歯後の疼痛</w:t>
            </w:r>
            <w:r w:rsidRPr="00EE0F51">
              <w:rPr>
                <w:rFonts w:cs="ＭＳ 明朝" w:hint="eastAsia"/>
              </w:rPr>
              <w:t>：</w:t>
            </w:r>
          </w:p>
          <w:p w14:paraId="2A1574B3" w14:textId="77777777" w:rsidR="00EE0F51" w:rsidRPr="00EE0F51" w:rsidRDefault="00EE0F51" w:rsidP="00755F41">
            <w:pPr>
              <w:pStyle w:val="L2b"/>
              <w:ind w:leftChars="90" w:left="172"/>
              <w:rPr>
                <w:rFonts w:cs="ＭＳ 明朝"/>
              </w:rPr>
            </w:pPr>
            <w:r w:rsidRPr="00EE0F51">
              <w:rPr>
                <w:rFonts w:cs="ＭＳ 明朝" w:hint="eastAsia"/>
              </w:rPr>
              <w:t>通常、成人には、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回</w:t>
            </w:r>
            <w:r w:rsidRPr="00EE0F51">
              <w:rPr>
                <w:rFonts w:cs="ＭＳ 明朝" w:hint="eastAsia"/>
              </w:rPr>
              <w:t>2</w:t>
            </w:r>
            <w:r w:rsidRPr="00EE0F51">
              <w:rPr>
                <w:rFonts w:cs="ＭＳ 明朝" w:hint="eastAsia"/>
              </w:rPr>
              <w:t>錠を経口投与する。</w:t>
            </w:r>
          </w:p>
          <w:p w14:paraId="142ACB1A" w14:textId="77777777" w:rsidR="009B2862" w:rsidRPr="00AC4BA1" w:rsidRDefault="00EE0F51" w:rsidP="00755F41">
            <w:pPr>
              <w:pStyle w:val="L2b"/>
              <w:ind w:leftChars="90" w:left="172"/>
              <w:rPr>
                <w:rFonts w:cs="ＭＳ 明朝"/>
              </w:rPr>
            </w:pPr>
            <w:r w:rsidRPr="00EE0F51">
              <w:rPr>
                <w:rFonts w:cs="ＭＳ 明朝" w:hint="eastAsia"/>
              </w:rPr>
              <w:t>なお、追加投与する場合には、投与間隔を</w:t>
            </w:r>
            <w:r w:rsidRPr="00EE0F51">
              <w:rPr>
                <w:rFonts w:cs="ＭＳ 明朝" w:hint="eastAsia"/>
              </w:rPr>
              <w:t>4</w:t>
            </w:r>
            <w:r w:rsidRPr="00EE0F51">
              <w:rPr>
                <w:rFonts w:cs="ＭＳ 明朝" w:hint="eastAsia"/>
              </w:rPr>
              <w:t>時間以上空け、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回</w:t>
            </w:r>
            <w:r w:rsidRPr="00EE0F51">
              <w:rPr>
                <w:rFonts w:cs="ＭＳ 明朝" w:hint="eastAsia"/>
              </w:rPr>
              <w:t>2</w:t>
            </w:r>
            <w:r w:rsidRPr="00EE0F51">
              <w:rPr>
                <w:rFonts w:cs="ＭＳ 明朝" w:hint="eastAsia"/>
              </w:rPr>
              <w:t>錠、</w:t>
            </w:r>
            <w:r w:rsidRPr="00EE0F51">
              <w:rPr>
                <w:rFonts w:cs="ＭＳ 明朝" w:hint="eastAsia"/>
              </w:rPr>
              <w:t>1</w:t>
            </w:r>
            <w:r w:rsidRPr="00EE0F51">
              <w:rPr>
                <w:rFonts w:cs="ＭＳ 明朝" w:hint="eastAsia"/>
              </w:rPr>
              <w:t>日</w:t>
            </w:r>
            <w:r w:rsidRPr="00EE0F51">
              <w:rPr>
                <w:rFonts w:cs="ＭＳ 明朝" w:hint="eastAsia"/>
              </w:rPr>
              <w:t>8</w:t>
            </w:r>
            <w:r w:rsidRPr="00EE0F51">
              <w:rPr>
                <w:rFonts w:cs="ＭＳ 明朝" w:hint="eastAsia"/>
              </w:rPr>
              <w:t>錠を超えて投与しないこと。また、空腹時の投与は避けることが望ましい。</w:t>
            </w:r>
          </w:p>
        </w:tc>
      </w:tr>
      <w:tr w:rsidR="00B016F8" w14:paraId="22EBB5B1" w14:textId="77777777" w:rsidTr="003B4505">
        <w:trPr>
          <w:trHeight w:hRule="exact" w:val="1587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481A979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F36A053" w14:textId="77777777" w:rsidR="00B016F8" w:rsidRPr="0099246A" w:rsidRDefault="00A56928" w:rsidP="00AD0777">
            <w:pPr>
              <w:rPr>
                <w:szCs w:val="20"/>
              </w:rPr>
            </w:pPr>
            <w:r w:rsidRPr="0099246A">
              <w:rPr>
                <w:rFonts w:hint="eastAsia"/>
                <w:szCs w:val="20"/>
              </w:rPr>
              <w:t>淡黄色</w:t>
            </w:r>
            <w:r w:rsidR="00A565FC" w:rsidRPr="0099246A">
              <w:rPr>
                <w:rFonts w:hint="eastAsia"/>
                <w:szCs w:val="20"/>
              </w:rPr>
              <w:t>の</w:t>
            </w:r>
            <w:r w:rsidR="005A7498" w:rsidRPr="0099246A">
              <w:rPr>
                <w:rFonts w:hint="eastAsia"/>
                <w:szCs w:val="20"/>
              </w:rPr>
              <w:t>フィルムコーティング</w:t>
            </w:r>
            <w:r w:rsidR="00E042E7" w:rsidRPr="0099246A">
              <w:rPr>
                <w:rFonts w:hint="eastAsia"/>
                <w:szCs w:val="20"/>
              </w:rPr>
              <w:t>錠</w:t>
            </w:r>
          </w:p>
          <w:tbl>
            <w:tblPr>
              <w:tblW w:w="4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3"/>
              <w:gridCol w:w="42"/>
              <w:gridCol w:w="910"/>
              <w:gridCol w:w="1021"/>
              <w:gridCol w:w="1216"/>
            </w:tblGrid>
            <w:tr w:rsidR="002932D8" w:rsidRPr="00B329E1" w14:paraId="29D4E802" w14:textId="77777777" w:rsidTr="0027015D">
              <w:trPr>
                <w:trHeight w:val="205"/>
              </w:trPr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B15E87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843ABC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CE0208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130CE8A" w14:textId="77777777" w:rsidR="002932D8" w:rsidRDefault="00A56928" w:rsidP="0099246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</w:t>
                  </w:r>
                  <w:r w:rsidR="002932D8"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15.</w:t>
                  </w:r>
                  <w:r w:rsidR="007714DF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="002932D8"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870519B" w14:textId="77777777" w:rsidR="00A56928" w:rsidRPr="00B329E1" w:rsidRDefault="00A56928" w:rsidP="0099246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6.4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7F7A078" w14:textId="77777777" w:rsidR="002932D8" w:rsidRPr="00B329E1" w:rsidRDefault="002932D8" w:rsidP="0099246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56928">
                    <w:rPr>
                      <w:rFonts w:hint="eastAsia"/>
                      <w:sz w:val="18"/>
                      <w:szCs w:val="18"/>
                    </w:rPr>
                    <w:t>5.</w:t>
                  </w:r>
                  <w:r w:rsidR="0027015D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1D3EA6B" w14:textId="77777777" w:rsidR="002932D8" w:rsidRPr="00B329E1" w:rsidRDefault="002932D8" w:rsidP="0099246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="00A56928">
                    <w:rPr>
                      <w:rFonts w:hint="eastAsia"/>
                      <w:sz w:val="18"/>
                      <w:szCs w:val="18"/>
                    </w:rPr>
                    <w:t>441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2932D8" w:rsidRPr="00B329E1" w14:paraId="0AB0E4E3" w14:textId="77777777" w:rsidTr="0099246A">
              <w:trPr>
                <w:trHeight w:val="510"/>
              </w:trPr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7D56619" w14:textId="488D783E" w:rsidR="002932D8" w:rsidRPr="00B329E1" w:rsidRDefault="000441D5" w:rsidP="0093639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C5917BC" wp14:editId="4E0B0AEF">
                        <wp:extent cx="590550" cy="247650"/>
                        <wp:effectExtent l="0" t="0" r="0" b="0"/>
                        <wp:docPr id="1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86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BAB0F7" w14:textId="353E3A13" w:rsidR="002932D8" w:rsidRPr="00B329E1" w:rsidRDefault="000441D5" w:rsidP="00046108">
                  <w:pPr>
                    <w:ind w:leftChars="-57" w:left="-15" w:rightChars="-56" w:right="-107" w:hangingChars="55" w:hanging="9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0F05DD8" wp14:editId="2D45A0A8">
                        <wp:extent cx="581025" cy="228600"/>
                        <wp:effectExtent l="0" t="0" r="0" b="0"/>
                        <wp:docPr id="2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242" r="342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23AC14" w14:textId="74F63B05" w:rsidR="002932D8" w:rsidRPr="00B329E1" w:rsidRDefault="000441D5" w:rsidP="005E1824">
                  <w:pPr>
                    <w:ind w:leftChars="-71" w:left="-16" w:rightChars="-63" w:right="-121" w:hangingChars="70" w:hanging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04CD313" wp14:editId="764AC3C7">
                        <wp:extent cx="590550" cy="238125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7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48D4586" w14:textId="77777777" w:rsidR="002932D8" w:rsidRPr="00B329E1" w:rsidRDefault="002932D8" w:rsidP="00AD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A4E49" w:rsidRPr="00B329E1" w14:paraId="5567C113" w14:textId="77777777" w:rsidTr="00755F41">
              <w:trPr>
                <w:trHeight w:hRule="exact" w:val="283"/>
              </w:trPr>
              <w:tc>
                <w:tcPr>
                  <w:tcW w:w="106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bottom"/>
                </w:tcPr>
                <w:p w14:paraId="3F4980F7" w14:textId="77777777" w:rsidR="00FA4E49" w:rsidRPr="00755F41" w:rsidRDefault="00FA4E49" w:rsidP="00755F41">
                  <w:pPr>
                    <w:spacing w:beforeLines="25" w:before="73"/>
                    <w:ind w:leftChars="-10" w:left="-19" w:rightChars="73" w:right="140"/>
                    <w:rPr>
                      <w:sz w:val="16"/>
                      <w:szCs w:val="16"/>
                    </w:rPr>
                  </w:pPr>
                  <w:r w:rsidRPr="00755F41">
                    <w:rPr>
                      <w:rFonts w:hint="eastAsia"/>
                      <w:sz w:val="16"/>
                      <w:szCs w:val="16"/>
                    </w:rPr>
                    <w:t>識別コード：</w:t>
                  </w:r>
                </w:p>
              </w:tc>
              <w:tc>
                <w:tcPr>
                  <w:tcW w:w="314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14:paraId="01E5512C" w14:textId="77777777" w:rsidR="00046108" w:rsidRPr="00755F41" w:rsidRDefault="003D7003" w:rsidP="00755F41">
                  <w:pPr>
                    <w:spacing w:beforeLines="25" w:before="73"/>
                    <w:ind w:leftChars="-28" w:left="-54"/>
                    <w:rPr>
                      <w:sz w:val="16"/>
                      <w:szCs w:val="16"/>
                    </w:rPr>
                  </w:pPr>
                  <w:r w:rsidRPr="00755F41">
                    <w:rPr>
                      <w:rFonts w:hint="eastAsia"/>
                      <w:sz w:val="16"/>
                      <w:szCs w:val="16"/>
                    </w:rPr>
                    <w:t>トアラセット</w:t>
                  </w:r>
                  <w:r w:rsidR="005E1824" w:rsidRPr="00755F41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D23832" w:rsidRPr="00755F41">
                    <w:rPr>
                      <w:rFonts w:hint="eastAsia"/>
                      <w:sz w:val="16"/>
                      <w:szCs w:val="16"/>
                    </w:rPr>
                    <w:t>DSEP</w:t>
                  </w:r>
                  <w:r w:rsidR="00755F41"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="00755F41" w:rsidRPr="00755F41">
                    <w:rPr>
                      <w:rFonts w:hint="eastAsia"/>
                      <w:sz w:val="16"/>
                      <w:szCs w:val="16"/>
                    </w:rPr>
                    <w:t>錠剤</w:t>
                  </w:r>
                  <w:r w:rsidR="00046108" w:rsidRPr="00755F41">
                    <w:rPr>
                      <w:rFonts w:hint="eastAsia"/>
                      <w:sz w:val="16"/>
                      <w:szCs w:val="16"/>
                    </w:rPr>
                    <w:t>表面）</w:t>
                  </w:r>
                </w:p>
              </w:tc>
            </w:tr>
            <w:tr w:rsidR="00755F41" w:rsidRPr="00B329E1" w14:paraId="27AB1D0E" w14:textId="77777777" w:rsidTr="00755F41">
              <w:trPr>
                <w:trHeight w:hRule="exact" w:val="425"/>
              </w:trPr>
              <w:tc>
                <w:tcPr>
                  <w:tcW w:w="106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0866E9AC" w14:textId="77777777" w:rsidR="00755F41" w:rsidRPr="00755F41" w:rsidRDefault="00755F41" w:rsidP="0027015D">
                  <w:pPr>
                    <w:spacing w:beforeLines="50" w:before="146"/>
                    <w:ind w:leftChars="-10" w:left="-19" w:rightChars="73" w:right="1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4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F1F27F3" w14:textId="77777777" w:rsidR="00755F41" w:rsidRPr="00755F41" w:rsidRDefault="00755F41" w:rsidP="00755F41">
                  <w:pPr>
                    <w:ind w:leftChars="-28" w:left="-54"/>
                    <w:rPr>
                      <w:sz w:val="16"/>
                      <w:szCs w:val="16"/>
                    </w:rPr>
                  </w:pPr>
                  <w:r w:rsidRPr="00755F41">
                    <w:rPr>
                      <w:rFonts w:hint="eastAsia"/>
                      <w:sz w:val="16"/>
                      <w:szCs w:val="16"/>
                    </w:rPr>
                    <w:t>トアラセット</w:t>
                  </w:r>
                  <w:r w:rsidRPr="00755F41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755F41">
                    <w:rPr>
                      <w:rFonts w:ascii="ＭＳ 明朝" w:hAnsi="ＭＳ 明朝" w:hint="eastAsia"/>
                      <w:sz w:val="16"/>
                      <w:szCs w:val="16"/>
                    </w:rPr>
                    <w:t>第一三共エスファ（錠剤裏面）</w:t>
                  </w:r>
                </w:p>
                <w:p w14:paraId="194C8586" w14:textId="77777777" w:rsidR="00755F41" w:rsidRPr="00755F41" w:rsidRDefault="00755F41" w:rsidP="00755F41">
                  <w:pPr>
                    <w:spacing w:beforeLines="50" w:before="146"/>
                    <w:ind w:leftChars="-28" w:left="-54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A865E7A" w14:textId="77777777" w:rsidR="00500499" w:rsidRPr="00B329E1" w:rsidRDefault="00500499" w:rsidP="005E1824">
            <w:pPr>
              <w:ind w:leftChars="596" w:left="1167" w:rightChars="-139" w:right="-266" w:hangingChars="16" w:hanging="2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3FE35798" w14:textId="77777777" w:rsidR="00DC04A3" w:rsidRPr="0099246A" w:rsidRDefault="00A56928" w:rsidP="00DC04A3">
            <w:pPr>
              <w:rPr>
                <w:szCs w:val="20"/>
              </w:rPr>
            </w:pPr>
            <w:r w:rsidRPr="0099246A">
              <w:rPr>
                <w:rFonts w:hint="eastAsia"/>
                <w:szCs w:val="20"/>
              </w:rPr>
              <w:t>淡黄</w:t>
            </w:r>
            <w:r w:rsidR="00DC04A3" w:rsidRPr="0099246A">
              <w:rPr>
                <w:rFonts w:hint="eastAsia"/>
                <w:szCs w:val="20"/>
              </w:rPr>
              <w:t>色のフィルムコーティング錠</w:t>
            </w:r>
          </w:p>
          <w:p w14:paraId="0FA443EE" w14:textId="77777777" w:rsidR="00A56928" w:rsidRDefault="00A56928" w:rsidP="0099246A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</w:t>
            </w:r>
            <w:r w:rsidRPr="00B329E1">
              <w:rPr>
                <w:rFonts w:hint="eastAsia"/>
                <w:sz w:val="18"/>
                <w:szCs w:val="18"/>
              </w:rPr>
              <w:t>径：</w:t>
            </w:r>
            <w:r>
              <w:rPr>
                <w:rFonts w:hint="eastAsia"/>
                <w:sz w:val="18"/>
                <w:szCs w:val="18"/>
              </w:rPr>
              <w:t>15.5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2BCEAF8B" w14:textId="77777777" w:rsidR="00A56928" w:rsidRPr="00B329E1" w:rsidRDefault="00A56928" w:rsidP="0099246A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</w:t>
            </w:r>
            <w:r w:rsidRPr="00B329E1">
              <w:rPr>
                <w:rFonts w:hint="eastAsia"/>
                <w:sz w:val="18"/>
                <w:szCs w:val="18"/>
              </w:rPr>
              <w:t>径：</w:t>
            </w:r>
            <w:r>
              <w:rPr>
                <w:rFonts w:hint="eastAsia"/>
                <w:sz w:val="18"/>
                <w:szCs w:val="18"/>
              </w:rPr>
              <w:t>6.3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3331362C" w14:textId="77777777" w:rsidR="00A56928" w:rsidRPr="00B329E1" w:rsidRDefault="00A56928" w:rsidP="0099246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5.5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01F80530" w14:textId="77777777" w:rsidR="00B016F8" w:rsidRPr="00B329E1" w:rsidRDefault="00A56928" w:rsidP="0099246A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441</w:t>
            </w:r>
            <w:r w:rsidRPr="00B329E1">
              <w:rPr>
                <w:rFonts w:hint="eastAsia"/>
                <w:sz w:val="18"/>
                <w:szCs w:val="18"/>
              </w:rPr>
              <w:t>mg</w:t>
            </w:r>
            <w:r w:rsidRPr="00B329E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046108" w14:paraId="25B17F48" w14:textId="77777777" w:rsidTr="003B4505">
        <w:trPr>
          <w:trHeight w:val="3957"/>
        </w:trPr>
        <w:tc>
          <w:tcPr>
            <w:tcW w:w="1561" w:type="dxa"/>
            <w:vAlign w:val="center"/>
          </w:tcPr>
          <w:p w14:paraId="45C36F10" w14:textId="77777777" w:rsidR="00046108" w:rsidRPr="00075F31" w:rsidRDefault="0004610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75889C2A" w14:textId="77777777" w:rsidR="00046108" w:rsidRPr="00075F31" w:rsidRDefault="00046108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  <w:right w:val="single" w:sz="4" w:space="0" w:color="auto"/>
            </w:tcBorders>
          </w:tcPr>
          <w:p w14:paraId="14DBF1EB" w14:textId="77777777" w:rsidR="00046108" w:rsidRPr="006D36FB" w:rsidRDefault="00046108" w:rsidP="00046108">
            <w:pPr>
              <w:ind w:rightChars="-60" w:right="-115"/>
              <w:rPr>
                <w:rFonts w:ascii="Arial" w:eastAsia="ＭＳ ゴシック" w:hAnsi="Arial"/>
                <w:sz w:val="18"/>
                <w:szCs w:val="18"/>
              </w:rPr>
            </w:pP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溶出試験（試験液：</w:t>
            </w: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pH6.8</w:t>
            </w: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 xml:space="preserve">　</w:t>
            </w: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50rpm</w:t>
            </w: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）</w:t>
            </w:r>
          </w:p>
          <w:p w14:paraId="54DC852F" w14:textId="77777777" w:rsidR="001D120B" w:rsidRPr="006D36FB" w:rsidRDefault="003D7003" w:rsidP="00AC4BA1">
            <w:pPr>
              <w:rPr>
                <w:rFonts w:ascii="Arial" w:eastAsia="ＭＳ ゴシック" w:hAnsi="Arial"/>
                <w:sz w:val="19"/>
                <w:szCs w:val="19"/>
              </w:rPr>
            </w:pP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トラマドール塩酸塩</w:t>
            </w:r>
          </w:p>
          <w:p w14:paraId="2AEE3A7C" w14:textId="3AC7C6FC" w:rsidR="00046108" w:rsidRPr="006D36FB" w:rsidRDefault="00264887" w:rsidP="0099246A">
            <w:pPr>
              <w:ind w:leftChars="-55" w:left="-22" w:hangingChars="55" w:hanging="83"/>
            </w:pPr>
            <w:r w:rsidRPr="00264887"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2AD82F25" wp14:editId="11746EB5">
                  <wp:extent cx="2596515" cy="18726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6108" w:rsidRPr="006D36FB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  <w:r w:rsidR="001D120B" w:rsidRPr="006D36FB">
              <w:rPr>
                <w:rFonts w:hint="eastAsia"/>
                <w:sz w:val="16"/>
                <w:szCs w:val="16"/>
              </w:rPr>
              <w:t>（</w:t>
            </w:r>
            <w:r w:rsidR="003D7003" w:rsidRPr="006D36FB">
              <w:rPr>
                <w:rFonts w:hint="eastAsia"/>
                <w:sz w:val="16"/>
                <w:szCs w:val="16"/>
              </w:rPr>
              <w:t>アセトアミノフェン</w:t>
            </w:r>
            <w:r w:rsidR="00046108" w:rsidRPr="006D36FB">
              <w:rPr>
                <w:rFonts w:hint="eastAsia"/>
                <w:sz w:val="16"/>
                <w:szCs w:val="16"/>
              </w:rPr>
              <w:t>についても溶出挙動は類似していると判定された。）</w:t>
            </w:r>
          </w:p>
        </w:tc>
        <w:tc>
          <w:tcPr>
            <w:tcW w:w="4286" w:type="dxa"/>
            <w:tcBorders>
              <w:left w:val="single" w:sz="4" w:space="0" w:color="auto"/>
              <w:bottom w:val="single" w:sz="4" w:space="0" w:color="auto"/>
            </w:tcBorders>
          </w:tcPr>
          <w:p w14:paraId="10467BCB" w14:textId="77777777" w:rsidR="00046108" w:rsidRPr="006D36FB" w:rsidRDefault="00BC286A" w:rsidP="0004610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血</w:t>
            </w:r>
            <w:r w:rsidR="00046108" w:rsidRPr="006D36FB">
              <w:rPr>
                <w:rFonts w:ascii="Arial" w:eastAsia="ＭＳ ゴシック" w:hAnsi="Arial" w:hint="eastAsia"/>
                <w:sz w:val="18"/>
                <w:szCs w:val="18"/>
              </w:rPr>
              <w:t>中濃度比較試験（ヒト、絶食時）</w:t>
            </w:r>
          </w:p>
          <w:p w14:paraId="7B07DEED" w14:textId="77777777" w:rsidR="001D120B" w:rsidRPr="006D36FB" w:rsidRDefault="003D7003" w:rsidP="0099246A">
            <w:pPr>
              <w:spacing w:after="100"/>
              <w:ind w:leftChars="-6" w:left="-6" w:rightChars="-60" w:right="-115" w:hangingChars="3" w:hanging="5"/>
              <w:rPr>
                <w:rFonts w:ascii="Arial" w:eastAsia="ＭＳ ゴシック" w:hAnsi="Arial"/>
                <w:sz w:val="18"/>
                <w:szCs w:val="18"/>
              </w:rPr>
            </w:pPr>
            <w:r w:rsidRPr="006D36FB">
              <w:rPr>
                <w:rFonts w:ascii="Arial" w:eastAsia="ＭＳ ゴシック" w:hAnsi="Arial" w:hint="eastAsia"/>
                <w:sz w:val="18"/>
                <w:szCs w:val="18"/>
              </w:rPr>
              <w:t>トラマドール塩酸塩</w:t>
            </w:r>
          </w:p>
          <w:p w14:paraId="78003589" w14:textId="7C4D6F8E" w:rsidR="00046108" w:rsidRPr="006D36FB" w:rsidRDefault="000441D5" w:rsidP="0099246A">
            <w:pPr>
              <w:ind w:leftChars="-50" w:left="-69" w:hangingChars="14" w:hanging="27"/>
              <w:jc w:val="center"/>
            </w:pPr>
            <w:r>
              <w:rPr>
                <w:noProof/>
              </w:rPr>
              <w:drawing>
                <wp:inline distT="0" distB="0" distL="0" distR="0" wp14:anchorId="197DB071" wp14:editId="3182A700">
                  <wp:extent cx="2705100" cy="19335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" r="4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2CA52" w14:textId="77777777" w:rsidR="00046108" w:rsidRPr="006D36FB" w:rsidRDefault="00046108" w:rsidP="0099246A">
            <w:pPr>
              <w:spacing w:before="60"/>
              <w:ind w:leftChars="-9" w:left="-17" w:firstLineChars="5" w:firstLine="8"/>
              <w:rPr>
                <w:sz w:val="16"/>
                <w:szCs w:val="16"/>
              </w:rPr>
            </w:pPr>
            <w:r w:rsidRPr="006D36FB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</w:p>
          <w:p w14:paraId="5AE887E0" w14:textId="77777777" w:rsidR="00046108" w:rsidRPr="006D36FB" w:rsidRDefault="00046108" w:rsidP="0099246A">
            <w:pPr>
              <w:ind w:leftChars="-9" w:left="-17" w:firstLineChars="5" w:firstLine="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6FB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 w:rsidR="001D120B" w:rsidRPr="006D36FB">
              <w:rPr>
                <w:rFonts w:hint="eastAsia"/>
                <w:sz w:val="16"/>
                <w:szCs w:val="16"/>
              </w:rPr>
              <w:t>（</w:t>
            </w:r>
            <w:r w:rsidR="003D7003" w:rsidRPr="006D36FB">
              <w:rPr>
                <w:rFonts w:hint="eastAsia"/>
                <w:sz w:val="16"/>
                <w:szCs w:val="16"/>
              </w:rPr>
              <w:t>アセトアミノフェン</w:t>
            </w:r>
            <w:r w:rsidRPr="006D36FB">
              <w:rPr>
                <w:rFonts w:hint="eastAsia"/>
                <w:sz w:val="16"/>
                <w:szCs w:val="16"/>
              </w:rPr>
              <w:t>についても、生物学的に同等であると判定された。）</w:t>
            </w:r>
          </w:p>
        </w:tc>
      </w:tr>
      <w:tr w:rsidR="00D761B1" w14:paraId="6BB8462B" w14:textId="77777777" w:rsidTr="003B4505">
        <w:trPr>
          <w:trHeight w:hRule="exact" w:val="284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67BBC370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3" w:type="dxa"/>
            <w:gridSpan w:val="2"/>
            <w:tcBorders>
              <w:bottom w:val="single" w:sz="4" w:space="0" w:color="auto"/>
            </w:tcBorders>
            <w:vAlign w:val="center"/>
          </w:tcPr>
          <w:p w14:paraId="2945897D" w14:textId="77777777" w:rsidR="00ED6938" w:rsidRPr="00512D05" w:rsidRDefault="00ED6938" w:rsidP="00512D05"/>
        </w:tc>
      </w:tr>
      <w:tr w:rsidR="00D761B1" w14:paraId="662AC840" w14:textId="77777777" w:rsidTr="003B4505">
        <w:trPr>
          <w:trHeight w:hRule="exact" w:val="284"/>
        </w:trPr>
        <w:tc>
          <w:tcPr>
            <w:tcW w:w="1561" w:type="dxa"/>
            <w:vAlign w:val="center"/>
          </w:tcPr>
          <w:p w14:paraId="1768BD96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3" w:type="dxa"/>
            <w:gridSpan w:val="2"/>
            <w:vAlign w:val="center"/>
          </w:tcPr>
          <w:p w14:paraId="283DCE94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25119D7" w14:textId="54041F8A" w:rsidR="000351F3" w:rsidRDefault="008433AD" w:rsidP="000351F3">
      <w:pPr>
        <w:jc w:val="right"/>
      </w:pPr>
      <w:r>
        <w:rPr>
          <w:rFonts w:hint="eastAsia"/>
        </w:rPr>
        <w:t>20</w:t>
      </w:r>
      <w:r w:rsidR="00635B45">
        <w:t>2</w:t>
      </w:r>
      <w:r w:rsidR="000441D5">
        <w:t>4</w:t>
      </w:r>
      <w:r w:rsidR="008E4A0D">
        <w:rPr>
          <w:rFonts w:hint="eastAsia"/>
        </w:rPr>
        <w:t>年</w:t>
      </w:r>
      <w:r w:rsidR="008C3E62">
        <w:t>4</w:t>
      </w:r>
      <w:r w:rsidR="008E4A0D">
        <w:rPr>
          <w:rFonts w:hint="eastAsia"/>
        </w:rPr>
        <w:t>月</w:t>
      </w:r>
    </w:p>
    <w:sectPr w:rsidR="000351F3" w:rsidSect="0099246A">
      <w:pgSz w:w="11906" w:h="16838" w:code="9"/>
      <w:pgMar w:top="434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75D2" w14:textId="77777777" w:rsidR="007B0870" w:rsidRDefault="007B0870">
      <w:r>
        <w:separator/>
      </w:r>
    </w:p>
  </w:endnote>
  <w:endnote w:type="continuationSeparator" w:id="0">
    <w:p w14:paraId="4CAE91DD" w14:textId="77777777" w:rsidR="007B0870" w:rsidRDefault="007B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D339" w14:textId="77777777" w:rsidR="007B0870" w:rsidRDefault="007B0870">
      <w:r>
        <w:separator/>
      </w:r>
    </w:p>
  </w:footnote>
  <w:footnote w:type="continuationSeparator" w:id="0">
    <w:p w14:paraId="2E97E268" w14:textId="77777777" w:rsidR="007B0870" w:rsidRDefault="007B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6931EE"/>
    <w:multiLevelType w:val="hybridMultilevel"/>
    <w:tmpl w:val="8364F666"/>
    <w:lvl w:ilvl="0" w:tplc="7E587A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014724956">
    <w:abstractNumId w:val="0"/>
  </w:num>
  <w:num w:numId="2" w16cid:durableId="427774372">
    <w:abstractNumId w:val="11"/>
  </w:num>
  <w:num w:numId="3" w16cid:durableId="20254343">
    <w:abstractNumId w:val="5"/>
  </w:num>
  <w:num w:numId="4" w16cid:durableId="1985348787">
    <w:abstractNumId w:val="1"/>
  </w:num>
  <w:num w:numId="5" w16cid:durableId="812214618">
    <w:abstractNumId w:val="2"/>
  </w:num>
  <w:num w:numId="6" w16cid:durableId="751896493">
    <w:abstractNumId w:val="10"/>
  </w:num>
  <w:num w:numId="7" w16cid:durableId="461967482">
    <w:abstractNumId w:val="4"/>
  </w:num>
  <w:num w:numId="8" w16cid:durableId="1353729128">
    <w:abstractNumId w:val="7"/>
  </w:num>
  <w:num w:numId="9" w16cid:durableId="1999142017">
    <w:abstractNumId w:val="6"/>
  </w:num>
  <w:num w:numId="10" w16cid:durableId="1745755785">
    <w:abstractNumId w:val="3"/>
  </w:num>
  <w:num w:numId="11" w16cid:durableId="2089227412">
    <w:abstractNumId w:val="8"/>
  </w:num>
  <w:num w:numId="12" w16cid:durableId="1161888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5FEE"/>
    <w:rsid w:val="00016D81"/>
    <w:rsid w:val="00020621"/>
    <w:rsid w:val="00030F81"/>
    <w:rsid w:val="000351F3"/>
    <w:rsid w:val="000441D5"/>
    <w:rsid w:val="00046108"/>
    <w:rsid w:val="00074554"/>
    <w:rsid w:val="00075F31"/>
    <w:rsid w:val="0008386E"/>
    <w:rsid w:val="000A18BB"/>
    <w:rsid w:val="000A1C0B"/>
    <w:rsid w:val="000A5549"/>
    <w:rsid w:val="000B4EF0"/>
    <w:rsid w:val="000D1D6A"/>
    <w:rsid w:val="000D432F"/>
    <w:rsid w:val="000D5286"/>
    <w:rsid w:val="000F5104"/>
    <w:rsid w:val="00100115"/>
    <w:rsid w:val="00100CFD"/>
    <w:rsid w:val="00101114"/>
    <w:rsid w:val="00101E55"/>
    <w:rsid w:val="00101E83"/>
    <w:rsid w:val="00111AE6"/>
    <w:rsid w:val="00122966"/>
    <w:rsid w:val="00126A5F"/>
    <w:rsid w:val="001328D9"/>
    <w:rsid w:val="00135683"/>
    <w:rsid w:val="00145BDD"/>
    <w:rsid w:val="00164846"/>
    <w:rsid w:val="00181F9C"/>
    <w:rsid w:val="001875D0"/>
    <w:rsid w:val="00191847"/>
    <w:rsid w:val="001A7B1B"/>
    <w:rsid w:val="001B6FBA"/>
    <w:rsid w:val="001D120B"/>
    <w:rsid w:val="001D6D38"/>
    <w:rsid w:val="001F3F84"/>
    <w:rsid w:val="002007CB"/>
    <w:rsid w:val="002014A2"/>
    <w:rsid w:val="002037CF"/>
    <w:rsid w:val="002136A4"/>
    <w:rsid w:val="00240411"/>
    <w:rsid w:val="00246F9F"/>
    <w:rsid w:val="002530B7"/>
    <w:rsid w:val="00264887"/>
    <w:rsid w:val="0027015D"/>
    <w:rsid w:val="00271048"/>
    <w:rsid w:val="002932D8"/>
    <w:rsid w:val="00296B56"/>
    <w:rsid w:val="002A01F3"/>
    <w:rsid w:val="002A4AC2"/>
    <w:rsid w:val="002A76EF"/>
    <w:rsid w:val="002B7F0F"/>
    <w:rsid w:val="002C02CE"/>
    <w:rsid w:val="002D5402"/>
    <w:rsid w:val="002F4E60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8F9"/>
    <w:rsid w:val="00362ADE"/>
    <w:rsid w:val="00374471"/>
    <w:rsid w:val="00375B1F"/>
    <w:rsid w:val="0037675F"/>
    <w:rsid w:val="00376A46"/>
    <w:rsid w:val="0038541D"/>
    <w:rsid w:val="00386C27"/>
    <w:rsid w:val="00397B8F"/>
    <w:rsid w:val="003A1A36"/>
    <w:rsid w:val="003A1A60"/>
    <w:rsid w:val="003A23E0"/>
    <w:rsid w:val="003B2424"/>
    <w:rsid w:val="003B4505"/>
    <w:rsid w:val="003B4C9D"/>
    <w:rsid w:val="003D2DF8"/>
    <w:rsid w:val="003D7003"/>
    <w:rsid w:val="00404F12"/>
    <w:rsid w:val="00404FB1"/>
    <w:rsid w:val="00406418"/>
    <w:rsid w:val="0042046F"/>
    <w:rsid w:val="004254C4"/>
    <w:rsid w:val="0042645B"/>
    <w:rsid w:val="00433330"/>
    <w:rsid w:val="00436780"/>
    <w:rsid w:val="00436DE7"/>
    <w:rsid w:val="00445E65"/>
    <w:rsid w:val="004479C1"/>
    <w:rsid w:val="00451506"/>
    <w:rsid w:val="00455A00"/>
    <w:rsid w:val="00457302"/>
    <w:rsid w:val="004646FC"/>
    <w:rsid w:val="004676F6"/>
    <w:rsid w:val="00471D66"/>
    <w:rsid w:val="004861ED"/>
    <w:rsid w:val="00492940"/>
    <w:rsid w:val="00494EF5"/>
    <w:rsid w:val="004A4FA8"/>
    <w:rsid w:val="004A6E02"/>
    <w:rsid w:val="004B130C"/>
    <w:rsid w:val="004B325C"/>
    <w:rsid w:val="004B7FCF"/>
    <w:rsid w:val="004D3FF9"/>
    <w:rsid w:val="004D44A5"/>
    <w:rsid w:val="004E2FAA"/>
    <w:rsid w:val="004E34DB"/>
    <w:rsid w:val="00500499"/>
    <w:rsid w:val="0050192D"/>
    <w:rsid w:val="0050632E"/>
    <w:rsid w:val="00512D05"/>
    <w:rsid w:val="00522463"/>
    <w:rsid w:val="00522D06"/>
    <w:rsid w:val="005321BC"/>
    <w:rsid w:val="00532337"/>
    <w:rsid w:val="00560047"/>
    <w:rsid w:val="00562EF3"/>
    <w:rsid w:val="00563742"/>
    <w:rsid w:val="005701DC"/>
    <w:rsid w:val="00583276"/>
    <w:rsid w:val="00585C31"/>
    <w:rsid w:val="00592716"/>
    <w:rsid w:val="005A6AEF"/>
    <w:rsid w:val="005A7498"/>
    <w:rsid w:val="005B1C19"/>
    <w:rsid w:val="005B2795"/>
    <w:rsid w:val="005C12AD"/>
    <w:rsid w:val="005C14DE"/>
    <w:rsid w:val="005D7609"/>
    <w:rsid w:val="005E1824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15A"/>
    <w:rsid w:val="00622323"/>
    <w:rsid w:val="006272DB"/>
    <w:rsid w:val="00632360"/>
    <w:rsid w:val="00635B45"/>
    <w:rsid w:val="006432CC"/>
    <w:rsid w:val="00654341"/>
    <w:rsid w:val="006548F9"/>
    <w:rsid w:val="00665211"/>
    <w:rsid w:val="00675427"/>
    <w:rsid w:val="006866B3"/>
    <w:rsid w:val="006874EB"/>
    <w:rsid w:val="00692ECF"/>
    <w:rsid w:val="006964CA"/>
    <w:rsid w:val="006975A1"/>
    <w:rsid w:val="006A6CCE"/>
    <w:rsid w:val="006C5E3D"/>
    <w:rsid w:val="006D36FB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43E15"/>
    <w:rsid w:val="00744ED9"/>
    <w:rsid w:val="00745C39"/>
    <w:rsid w:val="00751125"/>
    <w:rsid w:val="00755F41"/>
    <w:rsid w:val="007570C5"/>
    <w:rsid w:val="00760740"/>
    <w:rsid w:val="00764F87"/>
    <w:rsid w:val="007714DF"/>
    <w:rsid w:val="00780C00"/>
    <w:rsid w:val="007912EA"/>
    <w:rsid w:val="00797DB5"/>
    <w:rsid w:val="007A2541"/>
    <w:rsid w:val="007B0870"/>
    <w:rsid w:val="007C0A0A"/>
    <w:rsid w:val="007C4F1E"/>
    <w:rsid w:val="007F3678"/>
    <w:rsid w:val="007F430A"/>
    <w:rsid w:val="008028E1"/>
    <w:rsid w:val="008037B6"/>
    <w:rsid w:val="00811251"/>
    <w:rsid w:val="00812764"/>
    <w:rsid w:val="00823722"/>
    <w:rsid w:val="00832085"/>
    <w:rsid w:val="008433AD"/>
    <w:rsid w:val="00844233"/>
    <w:rsid w:val="008456C0"/>
    <w:rsid w:val="00854CF8"/>
    <w:rsid w:val="00857732"/>
    <w:rsid w:val="00862829"/>
    <w:rsid w:val="00866A4E"/>
    <w:rsid w:val="0087356E"/>
    <w:rsid w:val="00884DAB"/>
    <w:rsid w:val="008C3E62"/>
    <w:rsid w:val="008E05D5"/>
    <w:rsid w:val="008E4A0D"/>
    <w:rsid w:val="008E7C3E"/>
    <w:rsid w:val="00903F05"/>
    <w:rsid w:val="00927287"/>
    <w:rsid w:val="0093639F"/>
    <w:rsid w:val="00937EC6"/>
    <w:rsid w:val="0094751E"/>
    <w:rsid w:val="0095009F"/>
    <w:rsid w:val="00961644"/>
    <w:rsid w:val="00962E96"/>
    <w:rsid w:val="00966A18"/>
    <w:rsid w:val="009672D3"/>
    <w:rsid w:val="00971344"/>
    <w:rsid w:val="00984003"/>
    <w:rsid w:val="0099246A"/>
    <w:rsid w:val="009B2862"/>
    <w:rsid w:val="009B33BA"/>
    <w:rsid w:val="009C226D"/>
    <w:rsid w:val="009D6303"/>
    <w:rsid w:val="009D6935"/>
    <w:rsid w:val="009D71E4"/>
    <w:rsid w:val="009D74C5"/>
    <w:rsid w:val="009E1EE1"/>
    <w:rsid w:val="009F7C5F"/>
    <w:rsid w:val="00A021B5"/>
    <w:rsid w:val="00A042CD"/>
    <w:rsid w:val="00A05F23"/>
    <w:rsid w:val="00A16E87"/>
    <w:rsid w:val="00A17021"/>
    <w:rsid w:val="00A22F49"/>
    <w:rsid w:val="00A24368"/>
    <w:rsid w:val="00A403AE"/>
    <w:rsid w:val="00A40865"/>
    <w:rsid w:val="00A413B2"/>
    <w:rsid w:val="00A41680"/>
    <w:rsid w:val="00A42893"/>
    <w:rsid w:val="00A44188"/>
    <w:rsid w:val="00A565FC"/>
    <w:rsid w:val="00A56928"/>
    <w:rsid w:val="00A62643"/>
    <w:rsid w:val="00A76AF2"/>
    <w:rsid w:val="00AA3229"/>
    <w:rsid w:val="00AC4BA1"/>
    <w:rsid w:val="00AD0777"/>
    <w:rsid w:val="00AD1BCE"/>
    <w:rsid w:val="00AD2FA0"/>
    <w:rsid w:val="00AD4EC6"/>
    <w:rsid w:val="00AD7C39"/>
    <w:rsid w:val="00AE3252"/>
    <w:rsid w:val="00AE71DE"/>
    <w:rsid w:val="00B016F8"/>
    <w:rsid w:val="00B039F2"/>
    <w:rsid w:val="00B13086"/>
    <w:rsid w:val="00B1359F"/>
    <w:rsid w:val="00B3070D"/>
    <w:rsid w:val="00B329E1"/>
    <w:rsid w:val="00B431C9"/>
    <w:rsid w:val="00B47183"/>
    <w:rsid w:val="00B5160F"/>
    <w:rsid w:val="00B60FE7"/>
    <w:rsid w:val="00B613B3"/>
    <w:rsid w:val="00B6351D"/>
    <w:rsid w:val="00B678D8"/>
    <w:rsid w:val="00B815CE"/>
    <w:rsid w:val="00BA436B"/>
    <w:rsid w:val="00BC012E"/>
    <w:rsid w:val="00BC07F9"/>
    <w:rsid w:val="00BC286A"/>
    <w:rsid w:val="00BC2955"/>
    <w:rsid w:val="00BC35D2"/>
    <w:rsid w:val="00BC4610"/>
    <w:rsid w:val="00BC5A3D"/>
    <w:rsid w:val="00BD15DE"/>
    <w:rsid w:val="00BD3155"/>
    <w:rsid w:val="00BD3E50"/>
    <w:rsid w:val="00BF2D1F"/>
    <w:rsid w:val="00C05290"/>
    <w:rsid w:val="00C2207F"/>
    <w:rsid w:val="00C253FB"/>
    <w:rsid w:val="00C32574"/>
    <w:rsid w:val="00C341BF"/>
    <w:rsid w:val="00C34F43"/>
    <w:rsid w:val="00C3535C"/>
    <w:rsid w:val="00C41FC9"/>
    <w:rsid w:val="00C44F81"/>
    <w:rsid w:val="00C519AC"/>
    <w:rsid w:val="00C55B26"/>
    <w:rsid w:val="00C620C5"/>
    <w:rsid w:val="00C659C0"/>
    <w:rsid w:val="00C745D2"/>
    <w:rsid w:val="00C91DB7"/>
    <w:rsid w:val="00CA17EE"/>
    <w:rsid w:val="00CA3EF6"/>
    <w:rsid w:val="00CA409E"/>
    <w:rsid w:val="00CB42EF"/>
    <w:rsid w:val="00CB49F4"/>
    <w:rsid w:val="00CB7213"/>
    <w:rsid w:val="00CB7F28"/>
    <w:rsid w:val="00CC3983"/>
    <w:rsid w:val="00CC5333"/>
    <w:rsid w:val="00D04702"/>
    <w:rsid w:val="00D161E8"/>
    <w:rsid w:val="00D203FF"/>
    <w:rsid w:val="00D23832"/>
    <w:rsid w:val="00D407D5"/>
    <w:rsid w:val="00D55461"/>
    <w:rsid w:val="00D761B1"/>
    <w:rsid w:val="00D7648B"/>
    <w:rsid w:val="00D8557C"/>
    <w:rsid w:val="00D96E98"/>
    <w:rsid w:val="00DA0680"/>
    <w:rsid w:val="00DB291D"/>
    <w:rsid w:val="00DB3026"/>
    <w:rsid w:val="00DC04A3"/>
    <w:rsid w:val="00DC2B2F"/>
    <w:rsid w:val="00DC3587"/>
    <w:rsid w:val="00DC4BEA"/>
    <w:rsid w:val="00DC63E9"/>
    <w:rsid w:val="00DD7743"/>
    <w:rsid w:val="00DF04E6"/>
    <w:rsid w:val="00DF6782"/>
    <w:rsid w:val="00E03AC4"/>
    <w:rsid w:val="00E042E7"/>
    <w:rsid w:val="00E147FA"/>
    <w:rsid w:val="00E22E4E"/>
    <w:rsid w:val="00E436DD"/>
    <w:rsid w:val="00E44889"/>
    <w:rsid w:val="00E44FAC"/>
    <w:rsid w:val="00E51C27"/>
    <w:rsid w:val="00E560B3"/>
    <w:rsid w:val="00E6091D"/>
    <w:rsid w:val="00E62ECF"/>
    <w:rsid w:val="00E6542A"/>
    <w:rsid w:val="00E655AA"/>
    <w:rsid w:val="00E65BBD"/>
    <w:rsid w:val="00E752E4"/>
    <w:rsid w:val="00E76BBA"/>
    <w:rsid w:val="00E82CE6"/>
    <w:rsid w:val="00E9362B"/>
    <w:rsid w:val="00E9488F"/>
    <w:rsid w:val="00EA2AAF"/>
    <w:rsid w:val="00EA41E6"/>
    <w:rsid w:val="00EB5590"/>
    <w:rsid w:val="00EC0854"/>
    <w:rsid w:val="00EC21A9"/>
    <w:rsid w:val="00ED0B20"/>
    <w:rsid w:val="00ED317B"/>
    <w:rsid w:val="00ED42C8"/>
    <w:rsid w:val="00ED6938"/>
    <w:rsid w:val="00EE0F51"/>
    <w:rsid w:val="00EE36E5"/>
    <w:rsid w:val="00F01D26"/>
    <w:rsid w:val="00F06947"/>
    <w:rsid w:val="00F13BB4"/>
    <w:rsid w:val="00F4076B"/>
    <w:rsid w:val="00F51702"/>
    <w:rsid w:val="00F520FE"/>
    <w:rsid w:val="00F81049"/>
    <w:rsid w:val="00F94F32"/>
    <w:rsid w:val="00FA1BA6"/>
    <w:rsid w:val="00FA4E49"/>
    <w:rsid w:val="00FB1BA2"/>
    <w:rsid w:val="00FB245A"/>
    <w:rsid w:val="00FB5A62"/>
    <w:rsid w:val="00FC1149"/>
    <w:rsid w:val="00FC6F1E"/>
    <w:rsid w:val="00FD15CC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65C7ED7"/>
  <w15:chartTrackingRefBased/>
  <w15:docId w15:val="{6ECFF883-D145-4DE9-813B-EE85143B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AED9BD3-D7D9-40E0-9B5D-C52A4C5C9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06DD8-DFBA-49B2-ACD5-4C2702D98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8BA83-F745-480B-BC3C-1A9EF959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4</cp:revision>
  <cp:lastPrinted>2024-03-18T01:45:00Z</cp:lastPrinted>
  <dcterms:created xsi:type="dcterms:W3CDTF">2024-03-14T01:40:00Z</dcterms:created>
  <dcterms:modified xsi:type="dcterms:W3CDTF">2024-03-18T01:48:00Z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