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0C08" w14:textId="77777777" w:rsidR="008E4A0D" w:rsidRPr="0090649E" w:rsidRDefault="008E4A0D" w:rsidP="009C7E84">
      <w:pPr>
        <w:tabs>
          <w:tab w:val="left" w:pos="1774"/>
          <w:tab w:val="left" w:pos="5521"/>
        </w:tabs>
        <w:spacing w:line="320" w:lineRule="exact"/>
        <w:jc w:val="center"/>
        <w:rPr>
          <w:rFonts w:ascii="Arial" w:eastAsia="ＭＳ ゴシック" w:hAnsi="Arial"/>
          <w:sz w:val="24"/>
        </w:rPr>
      </w:pPr>
      <w:r w:rsidRPr="0090649E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46FB9" w:rsidRPr="0090649E">
        <w:rPr>
          <w:rFonts w:ascii="Arial" w:eastAsia="ＭＳ ゴシック" w:hAnsi="ＭＳ ゴシック" w:hint="eastAsia"/>
          <w:sz w:val="24"/>
        </w:rPr>
        <w:t>（</w:t>
      </w:r>
      <w:r w:rsidRPr="0090649E">
        <w:rPr>
          <w:rFonts w:ascii="Arial" w:eastAsia="ＭＳ ゴシック" w:hAnsi="ＭＳ ゴシック" w:hint="eastAsia"/>
          <w:sz w:val="24"/>
        </w:rPr>
        <w:t>案</w:t>
      </w:r>
      <w:r w:rsidR="00C46FB9" w:rsidRPr="0090649E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4400"/>
        <w:gridCol w:w="4398"/>
      </w:tblGrid>
      <w:tr w:rsidR="008E4A0D" w:rsidRPr="009C7E84" w14:paraId="4DCAEA2C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25E94947" w14:textId="77777777" w:rsidR="008E4A0D" w:rsidRPr="006A0F7E" w:rsidRDefault="008E4A0D" w:rsidP="006A0F7E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400" w:type="dxa"/>
            <w:vAlign w:val="center"/>
          </w:tcPr>
          <w:p w14:paraId="01ACEF61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後　　発　　品</w:t>
            </w:r>
          </w:p>
        </w:tc>
        <w:tc>
          <w:tcPr>
            <w:tcW w:w="4398" w:type="dxa"/>
            <w:vAlign w:val="center"/>
          </w:tcPr>
          <w:p w14:paraId="626813C2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先　　発　　品</w:t>
            </w:r>
          </w:p>
        </w:tc>
      </w:tr>
      <w:tr w:rsidR="00B016F8" w:rsidRPr="009C7E84" w14:paraId="42B8107E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7C866BA7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400" w:type="dxa"/>
            <w:vAlign w:val="center"/>
          </w:tcPr>
          <w:p w14:paraId="4BDCE56C" w14:textId="77777777" w:rsidR="00B016F8" w:rsidRPr="006A0F7E" w:rsidRDefault="00B016F8" w:rsidP="00C46FB9">
            <w:pPr>
              <w:jc w:val="center"/>
              <w:rPr>
                <w:szCs w:val="20"/>
              </w:rPr>
            </w:pPr>
            <w:r w:rsidRPr="006A0F7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98" w:type="dxa"/>
            <w:vAlign w:val="center"/>
          </w:tcPr>
          <w:p w14:paraId="745A2E88" w14:textId="77777777" w:rsidR="00B016F8" w:rsidRPr="00143BAC" w:rsidRDefault="00B016F8" w:rsidP="00C46FB9">
            <w:pPr>
              <w:jc w:val="center"/>
              <w:rPr>
                <w:szCs w:val="20"/>
              </w:rPr>
            </w:pPr>
          </w:p>
        </w:tc>
      </w:tr>
      <w:tr w:rsidR="00B016F8" w:rsidRPr="009C7E84" w14:paraId="15EF6D01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2A5D79A2" w14:textId="77777777" w:rsidR="00B016F8" w:rsidRPr="006A0F7E" w:rsidRDefault="00A66D75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6A0F7E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400" w:type="dxa"/>
            <w:vAlign w:val="center"/>
          </w:tcPr>
          <w:p w14:paraId="5F0FF6BE" w14:textId="77777777" w:rsidR="00B016F8" w:rsidRPr="006A0F7E" w:rsidRDefault="00503B77" w:rsidP="003F523A">
            <w:pPr>
              <w:ind w:left="113"/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タゾピペ配合</w:t>
            </w:r>
            <w:r w:rsidR="00F43641" w:rsidRPr="006A0F7E">
              <w:rPr>
                <w:rFonts w:ascii="Arial" w:eastAsia="ＭＳ ゴシック" w:hAnsi="ＭＳ ゴシック" w:hint="eastAsia"/>
                <w:szCs w:val="20"/>
              </w:rPr>
              <w:t>静注</w:t>
            </w:r>
            <w:r>
              <w:rPr>
                <w:rFonts w:ascii="Arial" w:eastAsia="ＭＳ ゴシック" w:hAnsi="ＭＳ ゴシック" w:hint="eastAsia"/>
                <w:szCs w:val="20"/>
              </w:rPr>
              <w:t>用</w:t>
            </w:r>
            <w:r>
              <w:rPr>
                <w:rFonts w:ascii="Arial" w:eastAsia="ＭＳ ゴシック" w:hAnsi="Arial" w:hint="eastAsia"/>
                <w:szCs w:val="20"/>
              </w:rPr>
              <w:t>2.25</w:t>
            </w:r>
            <w:r w:rsidR="004B6EF6" w:rsidRPr="006A0F7E">
              <w:rPr>
                <w:rFonts w:ascii="Arial" w:eastAsia="ＭＳ ゴシック" w:hAnsi="ＭＳ ゴシック" w:hint="eastAsia"/>
                <w:szCs w:val="20"/>
              </w:rPr>
              <w:t>「</w:t>
            </w:r>
            <w:r w:rsidR="004B6EF6" w:rsidRPr="006A0F7E">
              <w:rPr>
                <w:rFonts w:ascii="Arial" w:eastAsia="ＭＳ ゴシック" w:hAnsi="Arial" w:hint="eastAsia"/>
                <w:szCs w:val="20"/>
              </w:rPr>
              <w:t>D</w:t>
            </w:r>
            <w:r w:rsidR="00F43641" w:rsidRPr="006A0F7E">
              <w:rPr>
                <w:rFonts w:ascii="Arial" w:eastAsia="ＭＳ ゴシック" w:hAnsi="Arial" w:hint="eastAsia"/>
                <w:szCs w:val="20"/>
              </w:rPr>
              <w:t>SEP</w:t>
            </w:r>
            <w:r w:rsidR="004B6EF6" w:rsidRPr="006A0F7E">
              <w:rPr>
                <w:rFonts w:ascii="Arial" w:eastAsia="ＭＳ ゴシック" w:hAnsi="ＭＳ ゴシック" w:hint="eastAsia"/>
                <w:szCs w:val="20"/>
              </w:rPr>
              <w:t>」</w:t>
            </w:r>
          </w:p>
        </w:tc>
        <w:tc>
          <w:tcPr>
            <w:tcW w:w="4398" w:type="dxa"/>
            <w:vAlign w:val="center"/>
          </w:tcPr>
          <w:p w14:paraId="0279CE63" w14:textId="49146069" w:rsidR="00B016F8" w:rsidRPr="00846F08" w:rsidRDefault="00846F08" w:rsidP="00C46FB9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46F08">
              <w:rPr>
                <w:rFonts w:ascii="Arial" w:eastAsia="ＭＳ ゴシック" w:hAnsi="Arial" w:cs="Arial" w:hint="eastAsia"/>
                <w:szCs w:val="20"/>
              </w:rPr>
              <w:t>ゾシン静注用</w:t>
            </w:r>
            <w:r w:rsidRPr="00846F08">
              <w:rPr>
                <w:rFonts w:ascii="Arial" w:eastAsia="ＭＳ ゴシック" w:hAnsi="Arial" w:cs="Arial" w:hint="eastAsia"/>
                <w:szCs w:val="20"/>
              </w:rPr>
              <w:t>2.25</w:t>
            </w:r>
          </w:p>
        </w:tc>
      </w:tr>
      <w:tr w:rsidR="00B016F8" w:rsidRPr="009C7E84" w14:paraId="04F0F32D" w14:textId="77777777" w:rsidTr="00A66D75">
        <w:trPr>
          <w:trHeight w:val="283"/>
        </w:trPr>
        <w:tc>
          <w:tcPr>
            <w:tcW w:w="1678" w:type="dxa"/>
            <w:vAlign w:val="center"/>
          </w:tcPr>
          <w:p w14:paraId="1D358C52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400" w:type="dxa"/>
            <w:vAlign w:val="center"/>
          </w:tcPr>
          <w:p w14:paraId="2A54DED0" w14:textId="45631644" w:rsidR="00B016F8" w:rsidRPr="00217262" w:rsidRDefault="00846F08" w:rsidP="00FB4709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616</w:t>
            </w:r>
            <w:r w:rsidR="00FB4709" w:rsidRPr="00217262">
              <w:rPr>
                <w:rFonts w:hAnsi="ＭＳ 明朝" w:hint="eastAsia"/>
                <w:szCs w:val="20"/>
              </w:rPr>
              <w:t>円</w:t>
            </w:r>
            <w:r w:rsidR="00FB4709" w:rsidRPr="00217262">
              <w:rPr>
                <w:rFonts w:hAnsi="ＭＳ 明朝" w:hint="eastAsia"/>
                <w:szCs w:val="20"/>
              </w:rPr>
              <w:t>/</w:t>
            </w:r>
            <w:r w:rsidR="00FB4709" w:rsidRPr="00217262">
              <w:rPr>
                <w:rFonts w:hAnsi="ＭＳ 明朝" w:hint="eastAsia"/>
                <w:szCs w:val="20"/>
              </w:rPr>
              <w:t>瓶</w:t>
            </w:r>
          </w:p>
        </w:tc>
        <w:tc>
          <w:tcPr>
            <w:tcW w:w="4398" w:type="dxa"/>
            <w:vAlign w:val="center"/>
          </w:tcPr>
          <w:p w14:paraId="14F48DCF" w14:textId="107A86C0" w:rsidR="00B016F8" w:rsidRPr="00217262" w:rsidRDefault="00846F08" w:rsidP="00E7682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945</w:t>
            </w:r>
            <w:r w:rsidR="00B016F8" w:rsidRPr="00217262">
              <w:rPr>
                <w:rFonts w:hAnsi="ＭＳ 明朝" w:hint="eastAsia"/>
                <w:szCs w:val="20"/>
              </w:rPr>
              <w:t>円</w:t>
            </w:r>
            <w:r w:rsidR="00F43641" w:rsidRPr="00217262">
              <w:rPr>
                <w:rFonts w:hAnsi="ＭＳ 明朝" w:hint="eastAsia"/>
                <w:szCs w:val="20"/>
              </w:rPr>
              <w:t>/</w:t>
            </w:r>
            <w:r w:rsidR="00157388" w:rsidRPr="00217262">
              <w:rPr>
                <w:rFonts w:hAnsi="ＭＳ 明朝" w:hint="eastAsia"/>
                <w:szCs w:val="20"/>
              </w:rPr>
              <w:t>瓶</w:t>
            </w:r>
          </w:p>
        </w:tc>
      </w:tr>
      <w:tr w:rsidR="00B04B69" w:rsidRPr="009C7E84" w14:paraId="0501E610" w14:textId="77777777" w:rsidTr="00AC650E">
        <w:trPr>
          <w:trHeight w:hRule="exact" w:val="567"/>
        </w:trPr>
        <w:tc>
          <w:tcPr>
            <w:tcW w:w="1678" w:type="dxa"/>
            <w:vAlign w:val="center"/>
          </w:tcPr>
          <w:p w14:paraId="62F70B50" w14:textId="77777777" w:rsidR="00B04B69" w:rsidRPr="006A0F7E" w:rsidRDefault="00B04B69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798" w:type="dxa"/>
            <w:gridSpan w:val="2"/>
            <w:vAlign w:val="center"/>
          </w:tcPr>
          <w:p w14:paraId="3A79F84B" w14:textId="77777777" w:rsidR="00AC650E" w:rsidRDefault="00C46FB9" w:rsidP="00503B77">
            <w:pPr>
              <w:rPr>
                <w:szCs w:val="20"/>
              </w:rPr>
            </w:pPr>
            <w:r w:rsidRPr="00217262">
              <w:rPr>
                <w:rFonts w:hint="eastAsia"/>
                <w:szCs w:val="20"/>
              </w:rPr>
              <w:t>1</w:t>
            </w:r>
            <w:r w:rsidR="00503B77" w:rsidRPr="00217262">
              <w:rPr>
                <w:rFonts w:hint="eastAsia"/>
                <w:szCs w:val="20"/>
              </w:rPr>
              <w:t>バイアル中に</w:t>
            </w:r>
          </w:p>
          <w:p w14:paraId="7437353A" w14:textId="77777777" w:rsidR="00503B77" w:rsidRPr="00217262" w:rsidRDefault="00503B77" w:rsidP="00AC650E">
            <w:pPr>
              <w:ind w:firstLineChars="100" w:firstLine="191"/>
              <w:rPr>
                <w:rFonts w:cs="MS-PMincho"/>
                <w:szCs w:val="20"/>
              </w:rPr>
            </w:pPr>
            <w:r w:rsidRPr="00217262">
              <w:rPr>
                <w:rFonts w:ascii="ＭＳ ゴシック" w:eastAsia="ＭＳ ゴシック" w:hAnsi="ＭＳ ゴシック" w:cs="MS-PMincho"/>
                <w:szCs w:val="20"/>
              </w:rPr>
              <w:t>タゾバクタム</w:t>
            </w:r>
            <w:r w:rsidRPr="00217262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Pr="00217262">
              <w:rPr>
                <w:rFonts w:cs="Century"/>
                <w:szCs w:val="20"/>
              </w:rPr>
              <w:t>0.25g</w:t>
            </w:r>
            <w:r w:rsidRPr="00217262">
              <w:rPr>
                <w:rFonts w:cs="MS-PMincho"/>
                <w:szCs w:val="20"/>
              </w:rPr>
              <w:t>（力価）</w:t>
            </w:r>
            <w:r w:rsidRPr="00217262">
              <w:rPr>
                <w:rFonts w:cs="MS-PMincho" w:hint="eastAsia"/>
                <w:szCs w:val="20"/>
              </w:rPr>
              <w:t>及び</w:t>
            </w:r>
            <w:r w:rsidRPr="00217262">
              <w:rPr>
                <w:rFonts w:ascii="ＭＳ ゴシック" w:eastAsia="ＭＳ ゴシック" w:hAnsi="ＭＳ ゴシック" w:cs="MS-PMincho"/>
                <w:szCs w:val="20"/>
              </w:rPr>
              <w:t>ピペラシリン水和物</w:t>
            </w:r>
            <w:r w:rsidR="00B16618" w:rsidRPr="00217262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Pr="00217262">
              <w:rPr>
                <w:rFonts w:cs="Century"/>
                <w:szCs w:val="20"/>
              </w:rPr>
              <w:t>2.0g</w:t>
            </w:r>
            <w:r w:rsidRPr="00217262">
              <w:rPr>
                <w:rFonts w:cs="MS-PMincho"/>
                <w:szCs w:val="20"/>
              </w:rPr>
              <w:t>（力価）</w:t>
            </w:r>
            <w:r w:rsidRPr="00217262">
              <w:rPr>
                <w:rFonts w:cs="MS-PMincho" w:hint="eastAsia"/>
                <w:szCs w:val="20"/>
              </w:rPr>
              <w:t>を含有</w:t>
            </w:r>
          </w:p>
        </w:tc>
      </w:tr>
      <w:tr w:rsidR="00A66D75" w:rsidRPr="00C552AF" w14:paraId="17082CCB" w14:textId="77777777" w:rsidTr="00A66D75">
        <w:trPr>
          <w:trHeight w:val="680"/>
        </w:trPr>
        <w:tc>
          <w:tcPr>
            <w:tcW w:w="1678" w:type="dxa"/>
            <w:vAlign w:val="center"/>
          </w:tcPr>
          <w:p w14:paraId="2679FF5E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400" w:type="dxa"/>
            <w:vAlign w:val="center"/>
          </w:tcPr>
          <w:p w14:paraId="31466F8C" w14:textId="77777777" w:rsidR="00A66D75" w:rsidRPr="00217262" w:rsidRDefault="00A66D75" w:rsidP="00A66D75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217262">
              <w:rPr>
                <w:szCs w:val="20"/>
              </w:rPr>
              <w:t>炭酸水素ナトリウム</w:t>
            </w:r>
            <w:r w:rsidRPr="00217262">
              <w:rPr>
                <w:szCs w:val="20"/>
                <w:vertAlign w:val="superscript"/>
              </w:rPr>
              <w:t>注）</w:t>
            </w:r>
            <w:r w:rsidRPr="00217262">
              <w:rPr>
                <w:szCs w:val="20"/>
              </w:rPr>
              <w:t>0.395g</w:t>
            </w:r>
            <w:r w:rsidRPr="00217262">
              <w:rPr>
                <w:szCs w:val="20"/>
              </w:rPr>
              <w:t>、</w:t>
            </w:r>
            <w:r w:rsidRPr="00217262">
              <w:rPr>
                <w:rFonts w:hint="eastAsia"/>
                <w:szCs w:val="20"/>
              </w:rPr>
              <w:t>pH</w:t>
            </w:r>
            <w:r w:rsidRPr="00217262">
              <w:rPr>
                <w:szCs w:val="20"/>
              </w:rPr>
              <w:t>調節剤</w:t>
            </w:r>
          </w:p>
          <w:p w14:paraId="763222C0" w14:textId="77777777" w:rsidR="00A66D75" w:rsidRPr="0078542A" w:rsidRDefault="00A66D75" w:rsidP="00A66D75">
            <w:pPr>
              <w:spacing w:line="180" w:lineRule="exact"/>
              <w:ind w:left="352" w:hanging="352"/>
              <w:jc w:val="both"/>
              <w:rPr>
                <w:sz w:val="18"/>
                <w:szCs w:val="18"/>
              </w:rPr>
            </w:pPr>
            <w:r w:rsidRPr="0078542A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  <w:tc>
          <w:tcPr>
            <w:tcW w:w="4398" w:type="dxa"/>
            <w:vAlign w:val="center"/>
          </w:tcPr>
          <w:p w14:paraId="7C6C183B" w14:textId="77777777" w:rsidR="00A66D75" w:rsidRPr="00217262" w:rsidRDefault="00A66D75" w:rsidP="00A66D75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217262">
              <w:rPr>
                <w:szCs w:val="20"/>
              </w:rPr>
              <w:t>炭酸水素ナトリウム</w:t>
            </w:r>
            <w:r w:rsidRPr="00217262">
              <w:rPr>
                <w:szCs w:val="20"/>
                <w:vertAlign w:val="superscript"/>
              </w:rPr>
              <w:t>注）</w:t>
            </w:r>
            <w:r w:rsidRPr="00217262">
              <w:rPr>
                <w:szCs w:val="20"/>
              </w:rPr>
              <w:t>395</w:t>
            </w:r>
            <w:r w:rsidRPr="00217262">
              <w:rPr>
                <w:rFonts w:hint="eastAsia"/>
                <w:szCs w:val="20"/>
              </w:rPr>
              <w:t>m</w:t>
            </w:r>
            <w:r w:rsidRPr="00217262">
              <w:rPr>
                <w:szCs w:val="20"/>
              </w:rPr>
              <w:t>g</w:t>
            </w:r>
          </w:p>
          <w:p w14:paraId="59EA92A2" w14:textId="77777777" w:rsidR="00A66D75" w:rsidRPr="0078542A" w:rsidRDefault="00A66D75" w:rsidP="00A66D75">
            <w:pPr>
              <w:spacing w:line="180" w:lineRule="exact"/>
              <w:ind w:left="349" w:hangingChars="204" w:hanging="349"/>
              <w:jc w:val="both"/>
              <w:rPr>
                <w:sz w:val="18"/>
                <w:szCs w:val="18"/>
              </w:rPr>
            </w:pPr>
            <w:r w:rsidRPr="0078542A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</w:tr>
      <w:tr w:rsidR="00A66D75" w:rsidRPr="009C7E84" w14:paraId="02EC1EBD" w14:textId="77777777" w:rsidTr="00217262">
        <w:trPr>
          <w:trHeight w:hRule="exact" w:val="283"/>
        </w:trPr>
        <w:tc>
          <w:tcPr>
            <w:tcW w:w="1678" w:type="dxa"/>
            <w:vAlign w:val="center"/>
          </w:tcPr>
          <w:p w14:paraId="2FAB165A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798" w:type="dxa"/>
            <w:gridSpan w:val="2"/>
            <w:vAlign w:val="center"/>
          </w:tcPr>
          <w:p w14:paraId="518553C9" w14:textId="77777777" w:rsidR="00A66D75" w:rsidRPr="0078542A" w:rsidRDefault="00A66D75" w:rsidP="00A66D75">
            <w:pPr>
              <w:jc w:val="center"/>
              <w:rPr>
                <w:szCs w:val="20"/>
              </w:rPr>
            </w:pPr>
            <w:r w:rsidRPr="0078542A">
              <w:rPr>
                <w:rFonts w:ascii="ＭＳ 明朝" w:hAnsi="ＭＳ 明朝"/>
                <w:szCs w:val="20"/>
              </w:rPr>
              <w:t>β</w:t>
            </w:r>
            <w:r w:rsidRPr="0078542A">
              <w:rPr>
                <w:rFonts w:cs="Century"/>
                <w:szCs w:val="20"/>
              </w:rPr>
              <w:t>-</w:t>
            </w:r>
            <w:r w:rsidRPr="0078542A">
              <w:rPr>
                <w:szCs w:val="20"/>
              </w:rPr>
              <w:t>ラクタマーゼ阻害剤</w:t>
            </w:r>
            <w:r w:rsidRPr="0078542A">
              <w:rPr>
                <w:rFonts w:hint="eastAsia"/>
                <w:szCs w:val="20"/>
              </w:rPr>
              <w:t>配合抗生物質製剤</w:t>
            </w:r>
          </w:p>
        </w:tc>
      </w:tr>
      <w:tr w:rsidR="00A66D75" w:rsidRPr="009C7E84" w14:paraId="1C1C12F7" w14:textId="77777777" w:rsidTr="00217262">
        <w:trPr>
          <w:trHeight w:val="2551"/>
        </w:trPr>
        <w:tc>
          <w:tcPr>
            <w:tcW w:w="1678" w:type="dxa"/>
            <w:vAlign w:val="center"/>
          </w:tcPr>
          <w:p w14:paraId="3763EE89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798" w:type="dxa"/>
            <w:gridSpan w:val="2"/>
            <w:tcMar>
              <w:top w:w="28" w:type="dxa"/>
            </w:tcMar>
            <w:vAlign w:val="center"/>
          </w:tcPr>
          <w:p w14:paraId="0FC2C841" w14:textId="77777777" w:rsidR="00A66D75" w:rsidRPr="00217262" w:rsidRDefault="00A66D75" w:rsidP="00A66D75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217262">
              <w:rPr>
                <w:rFonts w:ascii="Arial" w:eastAsia="ＭＳ ゴシック" w:hAnsi="Arial" w:cs="Arial" w:hint="eastAsia"/>
                <w:szCs w:val="20"/>
              </w:rPr>
              <w:t>1.</w:t>
            </w:r>
            <w:r w:rsidRPr="00217262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3E891EDC" w14:textId="77777777" w:rsidR="00A66D75" w:rsidRPr="00217262" w:rsidRDefault="00A66D75" w:rsidP="00A66D75">
            <w:pPr>
              <w:widowControl w:val="0"/>
              <w:spacing w:line="220" w:lineRule="exact"/>
              <w:ind w:left="-98" w:rightChars="-51" w:right="-98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217262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〈適応菌種〉 </w:t>
            </w:r>
          </w:p>
          <w:p w14:paraId="2D71AF12" w14:textId="77777777" w:rsidR="00A66D75" w:rsidRPr="00217262" w:rsidRDefault="00A66D75" w:rsidP="00A66D75">
            <w:pPr>
              <w:pStyle w:val="L2b"/>
              <w:spacing w:line="220" w:lineRule="exact"/>
              <w:ind w:leftChars="101" w:left="194" w:hanging="1"/>
              <w:rPr>
                <w:rFonts w:ascii="ＭＳ 明朝" w:hAnsi="ＭＳ 明朝" w:cs="MS-PMincho"/>
              </w:rPr>
            </w:pPr>
            <w:r w:rsidRPr="00217262">
              <w:rPr>
                <w:rFonts w:hint="eastAsia"/>
              </w:rPr>
              <w:t>本剤に感性のブドウ球菌属、レンサ球菌属、肺炎球菌、腸球菌属、モラクセラ（ブランハメラ）・カタラーリス、大腸菌、シトロバクター属、クレブシエラ属、エンテロバクター属、セラチア属、プロテウス属、プロビデンシア属、インフルエンザ菌、緑膿菌、アシネトバクター属、</w:t>
            </w:r>
            <w:r w:rsidRPr="00217262">
              <w:rPr>
                <w:rFonts w:ascii="ＭＳ 明朝" w:hAnsi="ＭＳ 明朝" w:cs="MS-PMincho" w:hint="eastAsia"/>
              </w:rPr>
              <w:t>ペプトストレプトコッカス属、クロストリジウム属（クロストリジウム・ディフィシルを除く）、バクテロイデス属、プレボテラ属</w:t>
            </w:r>
          </w:p>
          <w:p w14:paraId="7D561483" w14:textId="77777777" w:rsidR="00A66D75" w:rsidRPr="00217262" w:rsidRDefault="00A66D75" w:rsidP="00A66D75">
            <w:pPr>
              <w:widowControl w:val="0"/>
              <w:spacing w:line="220" w:lineRule="exact"/>
              <w:ind w:leftChars="-51" w:left="11" w:rightChars="-51" w:right="-98" w:hangingChars="57" w:hanging="109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217262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〈適応症〉 </w:t>
            </w:r>
          </w:p>
          <w:p w14:paraId="6A5DD0A9" w14:textId="77777777" w:rsidR="00A66D75" w:rsidRPr="00217262" w:rsidRDefault="00A66D75" w:rsidP="00A66D75">
            <w:pPr>
              <w:widowControl w:val="0"/>
              <w:spacing w:line="220" w:lineRule="exact"/>
              <w:ind w:leftChars="100" w:left="192" w:rightChars="-51" w:right="-98" w:hanging="1"/>
              <w:jc w:val="both"/>
              <w:rPr>
                <w:rFonts w:ascii="ＭＳ 明朝" w:hAnsi="ＭＳ 明朝" w:cs="MS-PMincho"/>
                <w:szCs w:val="20"/>
              </w:rPr>
            </w:pPr>
            <w:r w:rsidRPr="00217262">
              <w:rPr>
                <w:rFonts w:hint="eastAsia"/>
                <w:szCs w:val="20"/>
              </w:rPr>
              <w:t>敗血症、深在性皮膚感染症、びらん・潰瘍の二次感染、肺炎、腎盂腎炎、複雑性膀胱炎、</w:t>
            </w:r>
            <w:r w:rsidRPr="00217262">
              <w:rPr>
                <w:rFonts w:ascii="ＭＳ 明朝" w:hAnsi="ＭＳ 明朝" w:cs="MS-PMincho" w:hint="eastAsia"/>
                <w:szCs w:val="20"/>
              </w:rPr>
              <w:t>腹膜炎、腹腔内膿瘍、胆嚢炎、胆管炎</w:t>
            </w:r>
          </w:p>
          <w:p w14:paraId="2C1AD2F7" w14:textId="77777777" w:rsidR="00A66D75" w:rsidRPr="00084694" w:rsidRDefault="00A66D75" w:rsidP="00A66D75">
            <w:pPr>
              <w:widowControl w:val="0"/>
              <w:spacing w:beforeLines="25" w:before="74" w:line="220" w:lineRule="exact"/>
              <w:ind w:rightChars="-51" w:right="-98"/>
              <w:jc w:val="both"/>
              <w:rPr>
                <w:rFonts w:ascii="Arial" w:eastAsia="ＭＳ ゴシック" w:hAnsi="Arial" w:cs="Arial"/>
                <w:sz w:val="18"/>
                <w:szCs w:val="18"/>
              </w:rPr>
            </w:pPr>
            <w:r w:rsidRPr="00217262">
              <w:rPr>
                <w:rFonts w:ascii="Arial" w:eastAsia="ＭＳ ゴシック" w:hAnsi="Arial" w:cs="Arial" w:hint="eastAsia"/>
                <w:szCs w:val="20"/>
              </w:rPr>
              <w:t>2.</w:t>
            </w:r>
            <w:r w:rsidRPr="00217262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</w:tc>
      </w:tr>
      <w:tr w:rsidR="00A66D75" w:rsidRPr="009C7E84" w14:paraId="54BBD9CB" w14:textId="77777777" w:rsidTr="0072632D">
        <w:trPr>
          <w:trHeight w:val="5669"/>
        </w:trPr>
        <w:tc>
          <w:tcPr>
            <w:tcW w:w="1678" w:type="dxa"/>
            <w:vAlign w:val="center"/>
          </w:tcPr>
          <w:p w14:paraId="7C106146" w14:textId="77777777" w:rsidR="00A66D75" w:rsidRPr="006A0F7E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798" w:type="dxa"/>
            <w:gridSpan w:val="2"/>
            <w:tcMar>
              <w:top w:w="28" w:type="dxa"/>
              <w:left w:w="57" w:type="dxa"/>
              <w:right w:w="57" w:type="dxa"/>
            </w:tcMar>
          </w:tcPr>
          <w:p w14:paraId="1B70A894" w14:textId="77777777" w:rsidR="00A66D75" w:rsidRPr="00217262" w:rsidRDefault="00A66D75" w:rsidP="00A66D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20" w:lineRule="exact"/>
              <w:ind w:left="341" w:hangingChars="178" w:hanging="341"/>
              <w:rPr>
                <w:rFonts w:ascii="Arial" w:eastAsia="ＭＳ ゴシック" w:hAnsi="Arial" w:cs="Arial"/>
                <w:szCs w:val="20"/>
              </w:rPr>
            </w:pPr>
            <w:r w:rsidRPr="00217262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4BFFE9D7" w14:textId="77777777" w:rsidR="00A66D75" w:rsidRPr="00217262" w:rsidRDefault="00A66D75" w:rsidP="00A66D75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217262">
              <w:rPr>
                <w:rFonts w:ascii="ＭＳ ゴシック" w:eastAsia="ＭＳ ゴシック" w:hAnsi="ＭＳ ゴシック" w:cs="ShinGo-regular-Identity-H"/>
                <w:szCs w:val="20"/>
              </w:rPr>
              <w:t>・敗血症、肺炎、腹膜炎、腹腔内膿瘍、胆嚢炎及び胆管炎の場合</w:t>
            </w:r>
          </w:p>
          <w:p w14:paraId="33BAC029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  <w:rPr>
                <w:shd w:val="pct15" w:color="auto" w:fill="FFFFFF"/>
              </w:rPr>
            </w:pPr>
            <w:r w:rsidRPr="00217262">
              <w:t>通常、成人にはタゾバクタム・ピペラシリンとして、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回点滴静注する。肺炎の場合、症状、病態に応じて</w:t>
            </w:r>
            <w:r w:rsidRPr="00217262">
              <w:rPr>
                <w:rFonts w:hint="eastAsia"/>
              </w:rPr>
              <w:t>、</w:t>
            </w:r>
            <w:r w:rsidRPr="00217262">
              <w:t>1</w:t>
            </w:r>
            <w:r w:rsidRPr="00217262">
              <w:t>日</w:t>
            </w:r>
            <w:r w:rsidRPr="00217262">
              <w:t>4</w:t>
            </w:r>
            <w:r w:rsidRPr="00217262">
              <w:t>回に増量できる。なお、必要に応じて、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</w:t>
            </w:r>
          </w:p>
          <w:p w14:paraId="1E6AC3AE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</w:pPr>
            <w:r w:rsidRPr="00217262">
              <w:t>通常、小児には</w:t>
            </w:r>
            <w:r w:rsidRPr="00217262">
              <w:rPr>
                <w:rFonts w:hint="eastAsia"/>
              </w:rPr>
              <w:t>1</w:t>
            </w:r>
            <w:r w:rsidRPr="00217262">
              <w:t>回</w:t>
            </w:r>
            <w:r w:rsidRPr="00217262">
              <w:t>112.5mg</w:t>
            </w:r>
            <w:r w:rsidRPr="00217262">
              <w:t>（力価）</w:t>
            </w:r>
            <w:r w:rsidRPr="00217262">
              <w:t>/kg</w:t>
            </w:r>
            <w:r w:rsidRPr="00217262">
              <w:t>を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回点滴静注する。なお、必要に応じて、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静脈内注射することもできる。また、症状、病態に応じて</w:t>
            </w:r>
            <w:r w:rsidRPr="00217262">
              <w:t>1</w:t>
            </w:r>
            <w:r w:rsidRPr="00217262">
              <w:t>回投与量を適宜減量できる。ただし、</w:t>
            </w:r>
            <w:r w:rsidRPr="00217262">
              <w:t>1</w:t>
            </w:r>
            <w:r w:rsidRPr="00217262">
              <w:t>回投与量の上限は成人における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（力価）を超えないものとする。</w:t>
            </w:r>
          </w:p>
          <w:p w14:paraId="00E1BB70" w14:textId="77777777" w:rsidR="00A66D75" w:rsidRPr="00217262" w:rsidRDefault="00A66D75" w:rsidP="00A66D75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217262">
              <w:rPr>
                <w:rFonts w:ascii="ＭＳ ゴシック" w:eastAsia="ＭＳ ゴシック" w:hAnsi="ＭＳ ゴシック" w:cs="ShinGo-regular-Identity-H" w:hint="eastAsia"/>
                <w:szCs w:val="20"/>
              </w:rPr>
              <w:t>・深在性皮膚感染症、びらん・潰瘍の二次感染の場合</w:t>
            </w:r>
          </w:p>
          <w:p w14:paraId="6EE06744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</w:pPr>
            <w:r w:rsidRPr="00217262">
              <w:rPr>
                <w:rFonts w:ascii="ＭＳ 明朝" w:hAnsi="ＭＳ 明朝" w:cs="MS-PMincho" w:hint="eastAsia"/>
                <w:noProof w:val="0"/>
                <w:color w:val="auto"/>
              </w:rPr>
              <w:t>通常、成人にはタゾバクタム・ピペラシリンとして、</w:t>
            </w:r>
            <w:r w:rsidRPr="00217262">
              <w:rPr>
                <w:rFonts w:cs="MS-PMincho"/>
                <w:noProof w:val="0"/>
                <w:color w:val="auto"/>
              </w:rPr>
              <w:t>1</w:t>
            </w:r>
            <w:r w:rsidRPr="00217262">
              <w:rPr>
                <w:rFonts w:cs="MS-PMincho"/>
                <w:noProof w:val="0"/>
                <w:color w:val="auto"/>
              </w:rPr>
              <w:t>回</w:t>
            </w:r>
            <w:r w:rsidRPr="00217262">
              <w:rPr>
                <w:rFonts w:cs="MS-PMincho"/>
                <w:noProof w:val="0"/>
                <w:color w:val="auto"/>
              </w:rPr>
              <w:t>4.5 g</w:t>
            </w:r>
            <w:r w:rsidRPr="00217262">
              <w:rPr>
                <w:rFonts w:cs="MS-PMincho"/>
                <w:noProof w:val="0"/>
                <w:color w:val="auto"/>
              </w:rPr>
              <w:t>（力価）を</w:t>
            </w:r>
            <w:r w:rsidRPr="00217262">
              <w:rPr>
                <w:rFonts w:cs="MS-PMincho"/>
                <w:noProof w:val="0"/>
                <w:color w:val="auto"/>
              </w:rPr>
              <w:t>1</w:t>
            </w:r>
            <w:r w:rsidRPr="00217262">
              <w:rPr>
                <w:rFonts w:cs="MS-PMincho"/>
                <w:noProof w:val="0"/>
                <w:color w:val="auto"/>
              </w:rPr>
              <w:t>日</w:t>
            </w:r>
            <w:r w:rsidRPr="00217262">
              <w:rPr>
                <w:rFonts w:cs="MS-PMincho"/>
                <w:noProof w:val="0"/>
                <w:color w:val="auto"/>
              </w:rPr>
              <w:t>3</w:t>
            </w:r>
            <w:r w:rsidRPr="00217262">
              <w:rPr>
                <w:rFonts w:cs="MS-PMincho"/>
                <w:noProof w:val="0"/>
                <w:color w:val="auto"/>
              </w:rPr>
              <w:t>回点滴静注する。なお、必要に応じて、緩徐に静脈内注射することもできる。</w:t>
            </w:r>
          </w:p>
          <w:p w14:paraId="31E682A8" w14:textId="77777777" w:rsidR="00A66D75" w:rsidRPr="00217262" w:rsidRDefault="00A66D75" w:rsidP="00A66D75">
            <w:pPr>
              <w:autoSpaceDE w:val="0"/>
              <w:autoSpaceDN w:val="0"/>
              <w:spacing w:before="60" w:line="220" w:lineRule="exact"/>
              <w:rPr>
                <w:rFonts w:eastAsia="ＭＳ ゴシック" w:cs="GothicBBBPro-Medium-90pv-RKSJ-H"/>
                <w:szCs w:val="20"/>
              </w:rPr>
            </w:pPr>
            <w:r w:rsidRPr="00217262">
              <w:rPr>
                <w:rFonts w:eastAsia="ＭＳ ゴシック" w:cs="GothicBBBPro-Medium-90pv-RKSJ-H"/>
                <w:szCs w:val="20"/>
              </w:rPr>
              <w:t>・腎盂腎炎及び複雑性膀胱炎の場合</w:t>
            </w:r>
          </w:p>
          <w:p w14:paraId="732F3C12" w14:textId="77777777" w:rsidR="00A66D75" w:rsidRPr="00217262" w:rsidRDefault="00A66D75" w:rsidP="00A66D75">
            <w:pPr>
              <w:pStyle w:val="L2b"/>
              <w:spacing w:line="220" w:lineRule="exact"/>
              <w:ind w:leftChars="123" w:left="235" w:firstLine="1"/>
              <w:jc w:val="left"/>
            </w:pPr>
            <w:r w:rsidRPr="00217262">
              <w:t>通常、成人にはタゾバクタム・ピペラシリンとして、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</w:t>
            </w:r>
            <w:r w:rsidRPr="00217262">
              <w:t>1</w:t>
            </w:r>
            <w:r w:rsidRPr="00217262">
              <w:t>日</w:t>
            </w:r>
            <w:r w:rsidRPr="00217262">
              <w:t>2</w:t>
            </w:r>
            <w:r w:rsidRPr="00217262">
              <w:t>回点滴静注する。症状、病態に応じて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回に増量できる。なお、必要に応じて、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</w:t>
            </w:r>
          </w:p>
          <w:p w14:paraId="762084F5" w14:textId="77777777" w:rsidR="00A66D75" w:rsidRPr="00217262" w:rsidRDefault="00A66D75" w:rsidP="00A66D75">
            <w:pPr>
              <w:pStyle w:val="L2b"/>
              <w:spacing w:afterLines="50" w:after="148" w:line="220" w:lineRule="exact"/>
              <w:ind w:leftChars="123" w:left="235" w:firstLine="1"/>
              <w:jc w:val="left"/>
            </w:pPr>
            <w:r w:rsidRPr="00217262">
              <w:t>通常、小児には</w:t>
            </w:r>
            <w:r w:rsidRPr="00217262">
              <w:t>1</w:t>
            </w:r>
            <w:r w:rsidRPr="00217262">
              <w:t>回</w:t>
            </w:r>
            <w:r w:rsidRPr="00217262">
              <w:t>112.5mg</w:t>
            </w:r>
            <w:r w:rsidRPr="00217262">
              <w:t>（力価）</w:t>
            </w:r>
            <w:r w:rsidRPr="00217262">
              <w:t>/kg</w:t>
            </w:r>
            <w:r w:rsidRPr="00217262">
              <w:t>を</w:t>
            </w:r>
            <w:r w:rsidRPr="00217262">
              <w:t>1</w:t>
            </w:r>
            <w:r w:rsidRPr="00217262">
              <w:t>日</w:t>
            </w:r>
            <w:r w:rsidRPr="00217262">
              <w:t>2</w:t>
            </w:r>
            <w:r w:rsidRPr="00217262">
              <w:t>回点滴静注する。なお、必要に応じて、</w:t>
            </w:r>
            <w:r w:rsidRPr="00217262">
              <w:rPr>
                <w:rFonts w:hint="eastAsia"/>
              </w:rPr>
              <w:t>緩徐に</w:t>
            </w:r>
            <w:r w:rsidRPr="00217262">
              <w:t>静脈内注射することもできる。また、症状、病態に応じて</w:t>
            </w:r>
            <w:r w:rsidRPr="00217262">
              <w:t>1</w:t>
            </w:r>
            <w:r w:rsidRPr="00217262">
              <w:t>回投与量を適宜減量できる。さらに、症状、病態に応じて</w:t>
            </w:r>
            <w:r w:rsidRPr="00217262">
              <w:t>1</w:t>
            </w:r>
            <w:r w:rsidRPr="00217262">
              <w:t>日</w:t>
            </w:r>
            <w:r w:rsidRPr="00217262">
              <w:t>3</w:t>
            </w:r>
            <w:r w:rsidRPr="00217262">
              <w:t>回に増量できる。ただし、</w:t>
            </w:r>
            <w:r w:rsidRPr="00217262">
              <w:t>1</w:t>
            </w:r>
            <w:r w:rsidRPr="00217262">
              <w:t>回投与量の上限は成人における</w:t>
            </w:r>
            <w:r w:rsidRPr="00217262">
              <w:t>1</w:t>
            </w:r>
            <w:r w:rsidRPr="00217262">
              <w:t>回</w:t>
            </w:r>
            <w:r w:rsidRPr="00217262">
              <w:t>4.5g</w:t>
            </w:r>
            <w:r w:rsidRPr="00217262">
              <w:t>（力価）を超えないものとする。</w:t>
            </w:r>
          </w:p>
          <w:p w14:paraId="5899A61C" w14:textId="77777777" w:rsidR="00A66D75" w:rsidRPr="00217262" w:rsidRDefault="00A66D75" w:rsidP="00A66D75">
            <w:pPr>
              <w:widowControl w:val="0"/>
              <w:numPr>
                <w:ilvl w:val="0"/>
                <w:numId w:val="7"/>
              </w:numPr>
              <w:spacing w:after="60" w:line="220" w:lineRule="exact"/>
              <w:ind w:left="272" w:rightChars="-51" w:right="-98" w:hanging="272"/>
              <w:rPr>
                <w:rFonts w:ascii="Arial" w:eastAsia="ＭＳ ゴシック" w:hAnsi="Arial" w:cs="Arial"/>
                <w:szCs w:val="20"/>
              </w:rPr>
            </w:pPr>
            <w:r w:rsidRPr="00217262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  <w:p w14:paraId="19866ACC" w14:textId="77777777" w:rsidR="00A66D75" w:rsidRPr="0078542A" w:rsidRDefault="00A66D75" w:rsidP="00A66D75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23" w:left="235" w:firstLine="1"/>
              <w:rPr>
                <w:rFonts w:ascii="ＭＳ 明朝" w:hAnsi="ＭＳ 明朝" w:cs="MS-PMincho"/>
                <w:sz w:val="18"/>
                <w:szCs w:val="18"/>
              </w:rPr>
            </w:pPr>
            <w:r w:rsidRPr="00217262">
              <w:rPr>
                <w:rFonts w:ascii="ＭＳ 明朝" w:hAnsi="ＭＳ 明朝" w:cs="MS-PMincho" w:hint="eastAsia"/>
                <w:szCs w:val="20"/>
              </w:rPr>
              <w:t>通常、成人にはタゾバクタム・ピペラシリンとして、</w:t>
            </w:r>
            <w:r w:rsidRPr="00217262">
              <w:rPr>
                <w:rFonts w:cs="Century"/>
                <w:szCs w:val="20"/>
              </w:rPr>
              <w:t>1</w:t>
            </w:r>
            <w:r w:rsidRPr="00217262">
              <w:rPr>
                <w:rFonts w:ascii="ＭＳ 明朝" w:hAnsi="ＭＳ 明朝" w:cs="MS-PMincho" w:hint="eastAsia"/>
                <w:szCs w:val="20"/>
              </w:rPr>
              <w:t>回</w:t>
            </w:r>
            <w:r w:rsidRPr="00217262">
              <w:rPr>
                <w:rFonts w:cs="Century"/>
                <w:szCs w:val="20"/>
              </w:rPr>
              <w:t>4.5g</w:t>
            </w:r>
            <w:r w:rsidRPr="00217262">
              <w:rPr>
                <w:rFonts w:ascii="ＭＳ 明朝" w:hAnsi="ＭＳ 明朝" w:cs="MS-PMincho" w:hint="eastAsia"/>
                <w:szCs w:val="20"/>
              </w:rPr>
              <w:t>（力価）を</w:t>
            </w:r>
            <w:r w:rsidRPr="00217262">
              <w:rPr>
                <w:rFonts w:cs="Century"/>
                <w:szCs w:val="20"/>
              </w:rPr>
              <w:t>1</w:t>
            </w:r>
            <w:r w:rsidRPr="00217262">
              <w:rPr>
                <w:rFonts w:ascii="ＭＳ 明朝" w:hAnsi="ＭＳ 明朝" w:cs="MS-PMincho" w:hint="eastAsia"/>
                <w:szCs w:val="20"/>
              </w:rPr>
              <w:t>日</w:t>
            </w:r>
            <w:r w:rsidRPr="00217262">
              <w:rPr>
                <w:rFonts w:cs="Century"/>
                <w:szCs w:val="20"/>
              </w:rPr>
              <w:t>4</w:t>
            </w:r>
            <w:r w:rsidRPr="00217262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</w:t>
            </w:r>
            <w:r w:rsidRPr="0072632D">
              <w:rPr>
                <w:rFonts w:ascii="ＭＳ 明朝" w:hAnsi="ＭＳ 明朝" w:cs="MS-PMincho" w:hint="eastAsia"/>
                <w:szCs w:val="20"/>
              </w:rPr>
              <w:t>通常、小児には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</w:t>
            </w:r>
            <w:r w:rsidRPr="0072632D">
              <w:rPr>
                <w:rFonts w:cs="Century"/>
                <w:szCs w:val="20"/>
              </w:rPr>
              <w:t>90</w:t>
            </w:r>
            <w:r w:rsidRPr="0072632D">
              <w:rPr>
                <w:rFonts w:cs="MS-PMincho" w:hint="eastAsia"/>
                <w:szCs w:val="20"/>
              </w:rPr>
              <w:t>mg</w:t>
            </w:r>
            <w:r w:rsidRPr="0072632D">
              <w:rPr>
                <w:rFonts w:ascii="ＭＳ 明朝" w:hAnsi="ＭＳ 明朝" w:cs="MS-PMincho" w:hint="eastAsia"/>
                <w:szCs w:val="20"/>
              </w:rPr>
              <w:t>（力価）</w:t>
            </w:r>
            <w:r w:rsidRPr="0072632D">
              <w:rPr>
                <w:rFonts w:cs="Century"/>
                <w:szCs w:val="20"/>
              </w:rPr>
              <w:t>/</w:t>
            </w:r>
            <w:r w:rsidRPr="0072632D">
              <w:rPr>
                <w:rFonts w:cs="MS-PMincho" w:hint="eastAsia"/>
                <w:szCs w:val="20"/>
              </w:rPr>
              <w:t>kg</w:t>
            </w:r>
            <w:r w:rsidRPr="0072632D">
              <w:rPr>
                <w:rFonts w:ascii="ＭＳ 明朝" w:hAnsi="ＭＳ 明朝" w:cs="MS-PMincho" w:hint="eastAsia"/>
                <w:szCs w:val="20"/>
              </w:rPr>
              <w:t>を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日</w:t>
            </w:r>
            <w:r w:rsidRPr="0072632D">
              <w:rPr>
                <w:rFonts w:cs="Century"/>
                <w:szCs w:val="20"/>
              </w:rPr>
              <w:t>4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回点滴静注する。なお、必要に応じて、緩徐に静脈内注射することもできる。ただし、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回投与量の上限は成人における</w:t>
            </w:r>
            <w:r w:rsidRPr="0072632D">
              <w:rPr>
                <w:rFonts w:cs="Century"/>
                <w:szCs w:val="20"/>
              </w:rPr>
              <w:t>1</w:t>
            </w:r>
            <w:r w:rsidRPr="0072632D">
              <w:rPr>
                <w:rFonts w:ascii="ＭＳ 明朝" w:hAnsi="ＭＳ 明朝" w:cs="MS-PMincho" w:hint="eastAsia"/>
                <w:szCs w:val="20"/>
              </w:rPr>
              <w:t>回</w:t>
            </w:r>
            <w:r w:rsidRPr="0072632D">
              <w:rPr>
                <w:rFonts w:cs="Century"/>
                <w:szCs w:val="20"/>
              </w:rPr>
              <w:t>4.5g</w:t>
            </w:r>
            <w:r w:rsidRPr="0072632D">
              <w:rPr>
                <w:rFonts w:ascii="ＭＳ 明朝" w:hAnsi="ＭＳ 明朝" w:cs="MS-PMincho" w:hint="eastAsia"/>
                <w:szCs w:val="20"/>
              </w:rPr>
              <w:t>（力価）を超えないものとする。</w:t>
            </w:r>
          </w:p>
        </w:tc>
      </w:tr>
      <w:tr w:rsidR="00A66D75" w:rsidRPr="009C7E84" w14:paraId="50D2DAE5" w14:textId="77777777" w:rsidTr="00217262">
        <w:trPr>
          <w:trHeight w:val="1077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459F17BD" w14:textId="77777777" w:rsidR="00A66D75" w:rsidRPr="0078542A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035E8315" w14:textId="77777777" w:rsidR="00A66D75" w:rsidRDefault="00A66D75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 w:rsidRPr="0078542A">
              <w:rPr>
                <w:rFonts w:ascii="ＭＳ 明朝" w:hAnsi="ＭＳ 明朝" w:cs="Arial"/>
                <w:szCs w:val="20"/>
              </w:rPr>
              <w:t>用時溶解して用いる凍結乾燥</w:t>
            </w:r>
            <w:r w:rsidRPr="0078542A">
              <w:rPr>
                <w:rFonts w:ascii="ＭＳ 明朝" w:hAnsi="ＭＳ 明朝" w:cs="Arial" w:hint="eastAsia"/>
                <w:szCs w:val="20"/>
              </w:rPr>
              <w:t>注射</w:t>
            </w:r>
            <w:r w:rsidRPr="0078542A">
              <w:rPr>
                <w:rFonts w:ascii="ＭＳ 明朝" w:hAnsi="ＭＳ 明朝" w:cs="Arial"/>
                <w:szCs w:val="20"/>
              </w:rPr>
              <w:t>剤</w:t>
            </w:r>
          </w:p>
          <w:p w14:paraId="5BD772CD" w14:textId="77777777" w:rsidR="00A66D75" w:rsidRDefault="00A66D75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 w:rsidRPr="0078542A">
              <w:rPr>
                <w:rFonts w:ascii="ＭＳ 明朝" w:hAnsi="ＭＳ 明朝" w:cs="Arial" w:hint="eastAsia"/>
                <w:szCs w:val="20"/>
              </w:rPr>
              <w:t>白色～微黄白色の塊又は粉末</w:t>
            </w:r>
          </w:p>
          <w:p w14:paraId="735C08D2" w14:textId="0036F0AC" w:rsidR="00A66D75" w:rsidRDefault="00846F08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704E163" wp14:editId="3CF6EF3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17780</wp:posOffset>
                  </wp:positionV>
                  <wp:extent cx="1410335" cy="682625"/>
                  <wp:effectExtent l="0" t="0" r="0" b="0"/>
                  <wp:wrapSquare wrapText="bothSides"/>
                  <wp:docPr id="4" name="Picture 2" descr="タゾピペ配合静注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タゾピペ配合静注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12" b="26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CB6523" w14:textId="77777777" w:rsidR="00A66D75" w:rsidRPr="0078542A" w:rsidRDefault="00A66D75" w:rsidP="00A66D75">
            <w:pPr>
              <w:spacing w:line="240" w:lineRule="exact"/>
              <w:jc w:val="both"/>
              <w:rPr>
                <w:rFonts w:ascii="ＭＳ 明朝" w:hAnsi="ＭＳ 明朝" w:cs="Arial"/>
                <w:szCs w:val="20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11F3CB81" w14:textId="77777777" w:rsidR="00A66D75" w:rsidRPr="00622793" w:rsidRDefault="00A66D75" w:rsidP="00A66D75">
            <w:pPr>
              <w:spacing w:line="240" w:lineRule="exact"/>
              <w:ind w:firstLineChars="12" w:firstLine="23"/>
              <w:jc w:val="both"/>
              <w:rPr>
                <w:sz w:val="16"/>
                <w:szCs w:val="16"/>
              </w:rPr>
            </w:pPr>
            <w:r w:rsidRPr="00217262">
              <w:rPr>
                <w:rFonts w:hint="eastAsia"/>
                <w:szCs w:val="20"/>
              </w:rPr>
              <w:t>用時溶解して用いる白色～微黄白色の塊又は粉末の凍結乾燥注射剤</w:t>
            </w:r>
          </w:p>
        </w:tc>
      </w:tr>
      <w:tr w:rsidR="00A66D75" w:rsidRPr="009C7E84" w14:paraId="6AF8A108" w14:textId="77777777" w:rsidTr="00217262">
        <w:trPr>
          <w:trHeight w:val="312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44246486" w14:textId="77777777" w:rsidR="00A66D75" w:rsidRPr="0078542A" w:rsidRDefault="00A66D75" w:rsidP="00A66D75">
            <w:pPr>
              <w:ind w:leftChars="7" w:left="13" w:rightChars="-8" w:right="-15"/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433140A5" w14:textId="77777777" w:rsidR="00A66D75" w:rsidRPr="0078542A" w:rsidRDefault="00A66D75" w:rsidP="00A66D75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798" w:type="dxa"/>
            <w:gridSpan w:val="2"/>
            <w:tcBorders>
              <w:bottom w:val="single" w:sz="4" w:space="0" w:color="auto"/>
            </w:tcBorders>
            <w:vAlign w:val="center"/>
          </w:tcPr>
          <w:p w14:paraId="5389DD38" w14:textId="77777777" w:rsidR="00A66D75" w:rsidRPr="0078542A" w:rsidRDefault="00A66D75" w:rsidP="00A66D75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本剤は注射用製剤であることから、</w:t>
            </w:r>
            <w:r w:rsidRPr="0078542A">
              <w:rPr>
                <w:rFonts w:ascii="ＭＳ 明朝" w:hAnsi="ＭＳ 明朝" w:hint="eastAsia"/>
                <w:szCs w:val="20"/>
              </w:rPr>
              <w:t>該当しない</w:t>
            </w:r>
          </w:p>
        </w:tc>
      </w:tr>
      <w:tr w:rsidR="00A66D75" w:rsidRPr="009C7E84" w14:paraId="283C8D58" w14:textId="77777777" w:rsidTr="00217262">
        <w:trPr>
          <w:trHeight w:hRule="exact" w:val="283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F469B21" w14:textId="77777777" w:rsidR="00A66D75" w:rsidRPr="0078542A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798" w:type="dxa"/>
            <w:gridSpan w:val="2"/>
            <w:tcBorders>
              <w:bottom w:val="single" w:sz="4" w:space="0" w:color="auto"/>
            </w:tcBorders>
            <w:vAlign w:val="center"/>
          </w:tcPr>
          <w:p w14:paraId="32BA1822" w14:textId="77777777" w:rsidR="00A66D75" w:rsidRPr="006A0F7E" w:rsidRDefault="00A66D75" w:rsidP="00A66D75">
            <w:pPr>
              <w:rPr>
                <w:szCs w:val="20"/>
              </w:rPr>
            </w:pPr>
          </w:p>
        </w:tc>
      </w:tr>
      <w:tr w:rsidR="00A66D75" w:rsidRPr="009C7E84" w14:paraId="20F1387F" w14:textId="77777777" w:rsidTr="00217262">
        <w:trPr>
          <w:trHeight w:hRule="exact" w:val="283"/>
        </w:trPr>
        <w:tc>
          <w:tcPr>
            <w:tcW w:w="1678" w:type="dxa"/>
            <w:vAlign w:val="center"/>
          </w:tcPr>
          <w:p w14:paraId="36073D44" w14:textId="77777777" w:rsidR="00A66D75" w:rsidRPr="0078542A" w:rsidRDefault="00A66D75" w:rsidP="00A66D75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78542A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798" w:type="dxa"/>
            <w:gridSpan w:val="2"/>
            <w:vAlign w:val="center"/>
          </w:tcPr>
          <w:p w14:paraId="4EC61A71" w14:textId="77777777" w:rsidR="00A66D75" w:rsidRPr="006A0F7E" w:rsidRDefault="00A66D75" w:rsidP="00A66D7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611112A3" w14:textId="7D6D8600" w:rsidR="0048438C" w:rsidRDefault="00D96E98" w:rsidP="00222034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90649E">
        <w:t>2</w:t>
      </w:r>
      <w:r w:rsidR="00846F08">
        <w:rPr>
          <w:rFonts w:hint="eastAsia"/>
        </w:rPr>
        <w:t>4</w:t>
      </w:r>
      <w:r w:rsidR="008E4A0D">
        <w:rPr>
          <w:rFonts w:hint="eastAsia"/>
        </w:rPr>
        <w:t>年</w:t>
      </w:r>
      <w:r w:rsidR="002D4951">
        <w:t>4</w:t>
      </w:r>
      <w:r w:rsidR="008E4A0D">
        <w:rPr>
          <w:rFonts w:hint="eastAsia"/>
        </w:rPr>
        <w:t>月</w:t>
      </w:r>
    </w:p>
    <w:sectPr w:rsidR="0048438C" w:rsidSect="0090649E">
      <w:pgSz w:w="11906" w:h="16838" w:code="9"/>
      <w:pgMar w:top="709" w:right="567" w:bottom="340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CD82" w14:textId="77777777" w:rsidR="00C334D8" w:rsidRDefault="00C334D8">
      <w:r>
        <w:separator/>
      </w:r>
    </w:p>
  </w:endnote>
  <w:endnote w:type="continuationSeparator" w:id="0">
    <w:p w14:paraId="24D214C1" w14:textId="77777777" w:rsidR="00C334D8" w:rsidRDefault="00C3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3D81" w14:textId="77777777" w:rsidR="00C334D8" w:rsidRDefault="00C334D8">
      <w:r>
        <w:separator/>
      </w:r>
    </w:p>
  </w:footnote>
  <w:footnote w:type="continuationSeparator" w:id="0">
    <w:p w14:paraId="6ED7BBFD" w14:textId="77777777" w:rsidR="00C334D8" w:rsidRDefault="00C3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43D"/>
    <w:multiLevelType w:val="hybridMultilevel"/>
    <w:tmpl w:val="8E388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D013B"/>
    <w:multiLevelType w:val="hybridMultilevel"/>
    <w:tmpl w:val="6682EA52"/>
    <w:lvl w:ilvl="0" w:tplc="B6627E2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5" w15:restartNumberingAfterBreak="0">
    <w:nsid w:val="699F3D89"/>
    <w:multiLevelType w:val="hybridMultilevel"/>
    <w:tmpl w:val="0736FED8"/>
    <w:lvl w:ilvl="0" w:tplc="CBC4A31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747C1C78"/>
    <w:multiLevelType w:val="hybridMultilevel"/>
    <w:tmpl w:val="B86E0BC0"/>
    <w:lvl w:ilvl="0" w:tplc="65EE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267167"/>
    <w:multiLevelType w:val="hybridMultilevel"/>
    <w:tmpl w:val="B204F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2154465">
    <w:abstractNumId w:val="0"/>
  </w:num>
  <w:num w:numId="2" w16cid:durableId="1256016328">
    <w:abstractNumId w:val="8"/>
  </w:num>
  <w:num w:numId="3" w16cid:durableId="1882982702">
    <w:abstractNumId w:val="3"/>
  </w:num>
  <w:num w:numId="4" w16cid:durableId="1350334123">
    <w:abstractNumId w:val="1"/>
  </w:num>
  <w:num w:numId="5" w16cid:durableId="1108892428">
    <w:abstractNumId w:val="4"/>
  </w:num>
  <w:num w:numId="6" w16cid:durableId="1971864800">
    <w:abstractNumId w:val="5"/>
  </w:num>
  <w:num w:numId="7" w16cid:durableId="642463697">
    <w:abstractNumId w:val="6"/>
  </w:num>
  <w:num w:numId="8" w16cid:durableId="508712954">
    <w:abstractNumId w:val="2"/>
  </w:num>
  <w:num w:numId="9" w16cid:durableId="834303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586"/>
    <w:rsid w:val="00001332"/>
    <w:rsid w:val="0000554B"/>
    <w:rsid w:val="000077C4"/>
    <w:rsid w:val="00016D81"/>
    <w:rsid w:val="00020621"/>
    <w:rsid w:val="00041304"/>
    <w:rsid w:val="00041A2C"/>
    <w:rsid w:val="000438D3"/>
    <w:rsid w:val="00057369"/>
    <w:rsid w:val="00073ABD"/>
    <w:rsid w:val="0008386E"/>
    <w:rsid w:val="00084694"/>
    <w:rsid w:val="000929A2"/>
    <w:rsid w:val="000A0226"/>
    <w:rsid w:val="000A1539"/>
    <w:rsid w:val="000B0968"/>
    <w:rsid w:val="000B5E28"/>
    <w:rsid w:val="000C501F"/>
    <w:rsid w:val="000C7CA7"/>
    <w:rsid w:val="000D0375"/>
    <w:rsid w:val="00136917"/>
    <w:rsid w:val="001405B5"/>
    <w:rsid w:val="0014299F"/>
    <w:rsid w:val="00143BAC"/>
    <w:rsid w:val="0015333A"/>
    <w:rsid w:val="00153422"/>
    <w:rsid w:val="00153F09"/>
    <w:rsid w:val="00154884"/>
    <w:rsid w:val="0015531F"/>
    <w:rsid w:val="00155450"/>
    <w:rsid w:val="00157388"/>
    <w:rsid w:val="00163E33"/>
    <w:rsid w:val="001657DC"/>
    <w:rsid w:val="00171E30"/>
    <w:rsid w:val="001777EB"/>
    <w:rsid w:val="00191785"/>
    <w:rsid w:val="001B04BD"/>
    <w:rsid w:val="001B18DD"/>
    <w:rsid w:val="001B51E2"/>
    <w:rsid w:val="001C33FA"/>
    <w:rsid w:val="001C5767"/>
    <w:rsid w:val="001D1273"/>
    <w:rsid w:val="001D6D38"/>
    <w:rsid w:val="001E3EB8"/>
    <w:rsid w:val="001E7B46"/>
    <w:rsid w:val="00203144"/>
    <w:rsid w:val="00213CBD"/>
    <w:rsid w:val="00217262"/>
    <w:rsid w:val="00222034"/>
    <w:rsid w:val="0023075E"/>
    <w:rsid w:val="00230A92"/>
    <w:rsid w:val="002419D1"/>
    <w:rsid w:val="0024332B"/>
    <w:rsid w:val="00250813"/>
    <w:rsid w:val="002614F0"/>
    <w:rsid w:val="0027703B"/>
    <w:rsid w:val="00282B77"/>
    <w:rsid w:val="00290F8B"/>
    <w:rsid w:val="002A043F"/>
    <w:rsid w:val="002B4406"/>
    <w:rsid w:val="002D4951"/>
    <w:rsid w:val="002E0A62"/>
    <w:rsid w:val="002E28F1"/>
    <w:rsid w:val="002F40A7"/>
    <w:rsid w:val="002F6193"/>
    <w:rsid w:val="003055C4"/>
    <w:rsid w:val="003075C1"/>
    <w:rsid w:val="003319D4"/>
    <w:rsid w:val="003439C0"/>
    <w:rsid w:val="003560B4"/>
    <w:rsid w:val="00361F03"/>
    <w:rsid w:val="00372A4C"/>
    <w:rsid w:val="00374471"/>
    <w:rsid w:val="00374A5F"/>
    <w:rsid w:val="003772CB"/>
    <w:rsid w:val="00393027"/>
    <w:rsid w:val="003A1A60"/>
    <w:rsid w:val="003A5195"/>
    <w:rsid w:val="003B71C2"/>
    <w:rsid w:val="003C3619"/>
    <w:rsid w:val="003D7EFB"/>
    <w:rsid w:val="003F523A"/>
    <w:rsid w:val="004056C0"/>
    <w:rsid w:val="00423B96"/>
    <w:rsid w:val="00424E72"/>
    <w:rsid w:val="004271D9"/>
    <w:rsid w:val="00451B2E"/>
    <w:rsid w:val="004646FC"/>
    <w:rsid w:val="00471176"/>
    <w:rsid w:val="0048438C"/>
    <w:rsid w:val="00486BC2"/>
    <w:rsid w:val="00491276"/>
    <w:rsid w:val="004931F4"/>
    <w:rsid w:val="004B4A5A"/>
    <w:rsid w:val="004B6EF6"/>
    <w:rsid w:val="004B7FCF"/>
    <w:rsid w:val="004C23D9"/>
    <w:rsid w:val="004C48B8"/>
    <w:rsid w:val="004D578D"/>
    <w:rsid w:val="004D62BB"/>
    <w:rsid w:val="004D6A9C"/>
    <w:rsid w:val="00503305"/>
    <w:rsid w:val="00503B77"/>
    <w:rsid w:val="00504439"/>
    <w:rsid w:val="0050615E"/>
    <w:rsid w:val="00510E66"/>
    <w:rsid w:val="00512D05"/>
    <w:rsid w:val="00513A8D"/>
    <w:rsid w:val="00520237"/>
    <w:rsid w:val="005279AC"/>
    <w:rsid w:val="005335B7"/>
    <w:rsid w:val="00555511"/>
    <w:rsid w:val="00556410"/>
    <w:rsid w:val="0056422F"/>
    <w:rsid w:val="00573033"/>
    <w:rsid w:val="00576AAC"/>
    <w:rsid w:val="0058132E"/>
    <w:rsid w:val="005A7464"/>
    <w:rsid w:val="005B0A25"/>
    <w:rsid w:val="005B0B10"/>
    <w:rsid w:val="005B1C19"/>
    <w:rsid w:val="005B376D"/>
    <w:rsid w:val="005B68F5"/>
    <w:rsid w:val="005D4E7B"/>
    <w:rsid w:val="005D7609"/>
    <w:rsid w:val="005E1916"/>
    <w:rsid w:val="005E793D"/>
    <w:rsid w:val="005F73D8"/>
    <w:rsid w:val="00611880"/>
    <w:rsid w:val="00621191"/>
    <w:rsid w:val="00622793"/>
    <w:rsid w:val="00634104"/>
    <w:rsid w:val="0065116D"/>
    <w:rsid w:val="00654341"/>
    <w:rsid w:val="006656C9"/>
    <w:rsid w:val="0067055D"/>
    <w:rsid w:val="00670CB1"/>
    <w:rsid w:val="0068091E"/>
    <w:rsid w:val="0068416C"/>
    <w:rsid w:val="006975A1"/>
    <w:rsid w:val="006A0F7E"/>
    <w:rsid w:val="006A1718"/>
    <w:rsid w:val="006A4EAA"/>
    <w:rsid w:val="006A7D5C"/>
    <w:rsid w:val="006B419A"/>
    <w:rsid w:val="006C1E12"/>
    <w:rsid w:val="006D32F1"/>
    <w:rsid w:val="006D5E03"/>
    <w:rsid w:val="006E1DD6"/>
    <w:rsid w:val="006E20E8"/>
    <w:rsid w:val="006E2140"/>
    <w:rsid w:val="006E271C"/>
    <w:rsid w:val="006E7268"/>
    <w:rsid w:val="007115CA"/>
    <w:rsid w:val="00712791"/>
    <w:rsid w:val="00714438"/>
    <w:rsid w:val="00716D4A"/>
    <w:rsid w:val="007201AF"/>
    <w:rsid w:val="007262BE"/>
    <w:rsid w:val="0072632D"/>
    <w:rsid w:val="00743E15"/>
    <w:rsid w:val="007527AC"/>
    <w:rsid w:val="00781425"/>
    <w:rsid w:val="0078542A"/>
    <w:rsid w:val="00785C7F"/>
    <w:rsid w:val="00787888"/>
    <w:rsid w:val="00790A68"/>
    <w:rsid w:val="007912EA"/>
    <w:rsid w:val="00794CD3"/>
    <w:rsid w:val="00795C31"/>
    <w:rsid w:val="007A2541"/>
    <w:rsid w:val="007C0A0A"/>
    <w:rsid w:val="007C45B9"/>
    <w:rsid w:val="007D1247"/>
    <w:rsid w:val="007D1DFC"/>
    <w:rsid w:val="007E2D52"/>
    <w:rsid w:val="007E48A3"/>
    <w:rsid w:val="007E4E68"/>
    <w:rsid w:val="007E5005"/>
    <w:rsid w:val="007E5BEF"/>
    <w:rsid w:val="007F0F02"/>
    <w:rsid w:val="007F5275"/>
    <w:rsid w:val="007F5882"/>
    <w:rsid w:val="008037B6"/>
    <w:rsid w:val="00805F19"/>
    <w:rsid w:val="0081643B"/>
    <w:rsid w:val="008338B3"/>
    <w:rsid w:val="008361B2"/>
    <w:rsid w:val="00846F08"/>
    <w:rsid w:val="00854522"/>
    <w:rsid w:val="00857732"/>
    <w:rsid w:val="00861BF2"/>
    <w:rsid w:val="00866A4E"/>
    <w:rsid w:val="008673EE"/>
    <w:rsid w:val="00873433"/>
    <w:rsid w:val="008757FD"/>
    <w:rsid w:val="00876E96"/>
    <w:rsid w:val="008855B6"/>
    <w:rsid w:val="008870D8"/>
    <w:rsid w:val="00893052"/>
    <w:rsid w:val="0089410D"/>
    <w:rsid w:val="008A1BC7"/>
    <w:rsid w:val="008A50C8"/>
    <w:rsid w:val="008B0D4D"/>
    <w:rsid w:val="008B3BD3"/>
    <w:rsid w:val="008C41FF"/>
    <w:rsid w:val="008E05D5"/>
    <w:rsid w:val="008E4A0D"/>
    <w:rsid w:val="008E60C3"/>
    <w:rsid w:val="008F74E6"/>
    <w:rsid w:val="00904B6B"/>
    <w:rsid w:val="0090649E"/>
    <w:rsid w:val="00910918"/>
    <w:rsid w:val="00935337"/>
    <w:rsid w:val="00943641"/>
    <w:rsid w:val="0095009F"/>
    <w:rsid w:val="009545EB"/>
    <w:rsid w:val="009606B8"/>
    <w:rsid w:val="00966492"/>
    <w:rsid w:val="009672D3"/>
    <w:rsid w:val="00984003"/>
    <w:rsid w:val="00986279"/>
    <w:rsid w:val="009A2051"/>
    <w:rsid w:val="009A5B95"/>
    <w:rsid w:val="009B7967"/>
    <w:rsid w:val="009C2630"/>
    <w:rsid w:val="009C2FFB"/>
    <w:rsid w:val="009C7E84"/>
    <w:rsid w:val="009D1A72"/>
    <w:rsid w:val="009D6935"/>
    <w:rsid w:val="009D798E"/>
    <w:rsid w:val="009E1613"/>
    <w:rsid w:val="009E191C"/>
    <w:rsid w:val="009E6215"/>
    <w:rsid w:val="009F53DE"/>
    <w:rsid w:val="009F75D1"/>
    <w:rsid w:val="00A0620D"/>
    <w:rsid w:val="00A31A94"/>
    <w:rsid w:val="00A33106"/>
    <w:rsid w:val="00A37FB6"/>
    <w:rsid w:val="00A40E9E"/>
    <w:rsid w:val="00A42A17"/>
    <w:rsid w:val="00A43C8E"/>
    <w:rsid w:val="00A44188"/>
    <w:rsid w:val="00A51706"/>
    <w:rsid w:val="00A5372C"/>
    <w:rsid w:val="00A66D75"/>
    <w:rsid w:val="00A67C29"/>
    <w:rsid w:val="00A7137B"/>
    <w:rsid w:val="00A72927"/>
    <w:rsid w:val="00A87568"/>
    <w:rsid w:val="00AC454D"/>
    <w:rsid w:val="00AC650E"/>
    <w:rsid w:val="00AF05D6"/>
    <w:rsid w:val="00AF4F3B"/>
    <w:rsid w:val="00B016F8"/>
    <w:rsid w:val="00B04B69"/>
    <w:rsid w:val="00B16618"/>
    <w:rsid w:val="00B25078"/>
    <w:rsid w:val="00B2620B"/>
    <w:rsid w:val="00B31291"/>
    <w:rsid w:val="00B31B92"/>
    <w:rsid w:val="00B34A51"/>
    <w:rsid w:val="00B60FE7"/>
    <w:rsid w:val="00B63559"/>
    <w:rsid w:val="00B749DB"/>
    <w:rsid w:val="00B755C2"/>
    <w:rsid w:val="00B840E5"/>
    <w:rsid w:val="00B86098"/>
    <w:rsid w:val="00BA0F34"/>
    <w:rsid w:val="00BA191E"/>
    <w:rsid w:val="00BA6E77"/>
    <w:rsid w:val="00BB071E"/>
    <w:rsid w:val="00BB3ACC"/>
    <w:rsid w:val="00BC012E"/>
    <w:rsid w:val="00BC07F9"/>
    <w:rsid w:val="00BC5A3D"/>
    <w:rsid w:val="00BD15DE"/>
    <w:rsid w:val="00BD5800"/>
    <w:rsid w:val="00BD70D0"/>
    <w:rsid w:val="00BE570C"/>
    <w:rsid w:val="00BF0C76"/>
    <w:rsid w:val="00BF207E"/>
    <w:rsid w:val="00BF50BB"/>
    <w:rsid w:val="00C00D77"/>
    <w:rsid w:val="00C334D8"/>
    <w:rsid w:val="00C44F81"/>
    <w:rsid w:val="00C4572A"/>
    <w:rsid w:val="00C46FB9"/>
    <w:rsid w:val="00C552AF"/>
    <w:rsid w:val="00C55AA3"/>
    <w:rsid w:val="00C56BEA"/>
    <w:rsid w:val="00C62EA8"/>
    <w:rsid w:val="00C76414"/>
    <w:rsid w:val="00C776B9"/>
    <w:rsid w:val="00C850A9"/>
    <w:rsid w:val="00C9773B"/>
    <w:rsid w:val="00CA409E"/>
    <w:rsid w:val="00CA4239"/>
    <w:rsid w:val="00CA725C"/>
    <w:rsid w:val="00CB156E"/>
    <w:rsid w:val="00CB7F28"/>
    <w:rsid w:val="00CC5333"/>
    <w:rsid w:val="00CE1DDF"/>
    <w:rsid w:val="00CE5829"/>
    <w:rsid w:val="00D00814"/>
    <w:rsid w:val="00D04779"/>
    <w:rsid w:val="00D139F4"/>
    <w:rsid w:val="00D17754"/>
    <w:rsid w:val="00D24A19"/>
    <w:rsid w:val="00D35D66"/>
    <w:rsid w:val="00D42D5A"/>
    <w:rsid w:val="00D50488"/>
    <w:rsid w:val="00D75875"/>
    <w:rsid w:val="00D761B1"/>
    <w:rsid w:val="00D7648B"/>
    <w:rsid w:val="00D76ABD"/>
    <w:rsid w:val="00D8557C"/>
    <w:rsid w:val="00D87620"/>
    <w:rsid w:val="00D906AE"/>
    <w:rsid w:val="00D96E98"/>
    <w:rsid w:val="00DA0680"/>
    <w:rsid w:val="00DB500D"/>
    <w:rsid w:val="00DC3B40"/>
    <w:rsid w:val="00DC4A2B"/>
    <w:rsid w:val="00DC63E9"/>
    <w:rsid w:val="00DE479D"/>
    <w:rsid w:val="00DF60CA"/>
    <w:rsid w:val="00E14FB9"/>
    <w:rsid w:val="00E20A47"/>
    <w:rsid w:val="00E35C3A"/>
    <w:rsid w:val="00E436DD"/>
    <w:rsid w:val="00E44BE5"/>
    <w:rsid w:val="00E44DBD"/>
    <w:rsid w:val="00E50066"/>
    <w:rsid w:val="00E5579A"/>
    <w:rsid w:val="00E6091D"/>
    <w:rsid w:val="00E711B0"/>
    <w:rsid w:val="00E73F12"/>
    <w:rsid w:val="00E76821"/>
    <w:rsid w:val="00EA1EC9"/>
    <w:rsid w:val="00EA5A3F"/>
    <w:rsid w:val="00EA6EB9"/>
    <w:rsid w:val="00EC0D25"/>
    <w:rsid w:val="00EC6291"/>
    <w:rsid w:val="00ED432F"/>
    <w:rsid w:val="00ED6938"/>
    <w:rsid w:val="00ED6C6C"/>
    <w:rsid w:val="00EE5D5B"/>
    <w:rsid w:val="00EF320F"/>
    <w:rsid w:val="00EF71DA"/>
    <w:rsid w:val="00F05E78"/>
    <w:rsid w:val="00F2477C"/>
    <w:rsid w:val="00F268CD"/>
    <w:rsid w:val="00F27507"/>
    <w:rsid w:val="00F30673"/>
    <w:rsid w:val="00F43641"/>
    <w:rsid w:val="00F52EF4"/>
    <w:rsid w:val="00F7057C"/>
    <w:rsid w:val="00F80E07"/>
    <w:rsid w:val="00F81049"/>
    <w:rsid w:val="00F843BE"/>
    <w:rsid w:val="00F8471B"/>
    <w:rsid w:val="00F956F8"/>
    <w:rsid w:val="00FA1BA6"/>
    <w:rsid w:val="00FB4709"/>
    <w:rsid w:val="00FB724E"/>
    <w:rsid w:val="00FF17C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E3F979"/>
  <w15:chartTrackingRefBased/>
  <w15:docId w15:val="{502ECEC3-4580-4EFC-906D-71B0DDD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FB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D24A1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9F53DE"/>
  </w:style>
  <w:style w:type="character" w:customStyle="1" w:styleId="a9">
    <w:name w:val="日付 (文字)"/>
    <w:link w:val="a8"/>
    <w:rsid w:val="009F53DE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F497A-8D10-46F3-AE3D-5F28B59A7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4007D-6BAA-4F4B-AC71-A79571BB0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1C8956-7E51-41E6-994D-6052AB1A5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8F7A6-C241-49F7-8638-B52F6745E9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タゾピペ配合静注用2.25「DSEP」製品別比較表2204(案)</vt:lpstr>
      <vt:lpstr>後　　発　　品</vt:lpstr>
    </vt:vector>
  </TitlesOfParts>
  <Company>大原薬品工業株式会社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タゾピペ配合静注用2.25「DSEP」製品別比較表2204(案)</dc:title>
  <dc:subject/>
  <dc:creator>SUZUKI YUMINA / 鈴木 由実奈</dc:creator>
  <cp:keywords/>
  <cp:lastModifiedBy>KITAMURA TOSHINARI / 北村 俊成</cp:lastModifiedBy>
  <cp:revision>3</cp:revision>
  <cp:lastPrinted>2019-05-13T06:01:00Z</cp:lastPrinted>
  <dcterms:created xsi:type="dcterms:W3CDTF">2024-03-14T01:15:00Z</dcterms:created>
  <dcterms:modified xsi:type="dcterms:W3CDTF">2024-03-18T01:09:00Z</dcterms:modified>
</cp:coreProperties>
</file>