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99151" w14:textId="77777777" w:rsidR="008E4A0D" w:rsidRPr="00075F31" w:rsidRDefault="008E4A0D" w:rsidP="00EB5590">
      <w:pPr>
        <w:spacing w:line="280" w:lineRule="exact"/>
        <w:jc w:val="center"/>
        <w:rPr>
          <w:rFonts w:ascii="Arial" w:eastAsia="ＭＳ ゴシック" w:hAnsi="Arial"/>
          <w:sz w:val="24"/>
        </w:rPr>
      </w:pPr>
      <w:r w:rsidRPr="00075F31">
        <w:rPr>
          <w:rFonts w:ascii="Arial" w:eastAsia="ＭＳ ゴシック" w:hAnsi="ＭＳ ゴシック" w:hint="eastAsia"/>
          <w:sz w:val="24"/>
        </w:rPr>
        <w:t>製品</w:t>
      </w:r>
      <w:r w:rsidR="008F4C25">
        <w:rPr>
          <w:rFonts w:ascii="Arial" w:eastAsia="ＭＳ ゴシック" w:hAnsi="ＭＳ ゴシック" w:hint="eastAsia"/>
          <w:sz w:val="24"/>
        </w:rPr>
        <w:t>情報</w:t>
      </w:r>
      <w:r w:rsidRPr="00075F31">
        <w:rPr>
          <w:rFonts w:ascii="Arial" w:eastAsia="ＭＳ ゴシック" w:hAnsi="ＭＳ ゴシック" w:hint="eastAsia"/>
          <w:sz w:val="24"/>
        </w:rPr>
        <w:t>比較表（標準製剤との比較）</w:t>
      </w:r>
      <w:r w:rsidR="006548F9">
        <w:rPr>
          <w:rFonts w:ascii="Arial" w:eastAsia="ＭＳ ゴシック" w:hAnsi="Arial" w:hint="eastAsia"/>
          <w:sz w:val="24"/>
        </w:rPr>
        <w:t>（</w:t>
      </w:r>
      <w:r w:rsidRPr="00075F31">
        <w:rPr>
          <w:rFonts w:ascii="Arial" w:eastAsia="ＭＳ ゴシック" w:hAnsi="ＭＳ ゴシック" w:hint="eastAsia"/>
          <w:sz w:val="24"/>
        </w:rPr>
        <w:t>案</w:t>
      </w:r>
      <w:r w:rsidR="006548F9">
        <w:rPr>
          <w:rFonts w:ascii="Arial" w:eastAsia="ＭＳ ゴシック" w:hAnsi="Arial" w:hint="eastAsia"/>
          <w:sz w:val="24"/>
        </w:rPr>
        <w:t>）</w:t>
      </w:r>
    </w:p>
    <w:tbl>
      <w:tblPr>
        <w:tblW w:w="101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3"/>
        <w:gridCol w:w="833"/>
        <w:gridCol w:w="3452"/>
        <w:gridCol w:w="4286"/>
      </w:tblGrid>
      <w:tr w:rsidR="008E4A0D" w14:paraId="4AAE2915" w14:textId="77777777" w:rsidTr="006C1C24">
        <w:trPr>
          <w:trHeight w:hRule="exact" w:val="284"/>
        </w:trPr>
        <w:tc>
          <w:tcPr>
            <w:tcW w:w="1563" w:type="dxa"/>
          </w:tcPr>
          <w:p w14:paraId="095872E5" w14:textId="77777777" w:rsidR="008E4A0D" w:rsidRDefault="008E4A0D" w:rsidP="00457302">
            <w:pPr>
              <w:rPr>
                <w:rFonts w:ascii="ＭＳ ゴシック" w:eastAsia="ＭＳ ゴシック" w:hAnsi="ＭＳ ゴシック"/>
              </w:rPr>
            </w:pPr>
          </w:p>
        </w:tc>
        <w:tc>
          <w:tcPr>
            <w:tcW w:w="4285" w:type="dxa"/>
            <w:gridSpan w:val="2"/>
            <w:vAlign w:val="center"/>
          </w:tcPr>
          <w:p w14:paraId="213C83F3"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後　　発　　品</w:t>
            </w:r>
          </w:p>
        </w:tc>
        <w:tc>
          <w:tcPr>
            <w:tcW w:w="4286" w:type="dxa"/>
            <w:vAlign w:val="center"/>
          </w:tcPr>
          <w:p w14:paraId="299EC311"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先　　発　　品</w:t>
            </w:r>
          </w:p>
        </w:tc>
      </w:tr>
      <w:tr w:rsidR="00B016F8" w14:paraId="5280F2CF" w14:textId="77777777" w:rsidTr="006C1C24">
        <w:trPr>
          <w:trHeight w:hRule="exact" w:val="284"/>
        </w:trPr>
        <w:tc>
          <w:tcPr>
            <w:tcW w:w="1563" w:type="dxa"/>
            <w:vAlign w:val="center"/>
          </w:tcPr>
          <w:p w14:paraId="166AF687" w14:textId="77777777" w:rsidR="00B016F8" w:rsidRPr="00075F31" w:rsidRDefault="00B016F8" w:rsidP="00457302">
            <w:pPr>
              <w:jc w:val="distribute"/>
              <w:rPr>
                <w:rFonts w:ascii="Arial" w:eastAsia="ＭＳ ゴシック" w:hAnsi="Arial"/>
              </w:rPr>
            </w:pPr>
            <w:r w:rsidRPr="00075F31">
              <w:rPr>
                <w:rFonts w:ascii="Arial" w:eastAsia="ＭＳ ゴシック" w:hAnsi="ＭＳ ゴシック" w:hint="eastAsia"/>
              </w:rPr>
              <w:t>会　　社　　名</w:t>
            </w:r>
          </w:p>
        </w:tc>
        <w:tc>
          <w:tcPr>
            <w:tcW w:w="4285" w:type="dxa"/>
            <w:gridSpan w:val="2"/>
            <w:vAlign w:val="center"/>
          </w:tcPr>
          <w:p w14:paraId="2080621A" w14:textId="77777777" w:rsidR="00B016F8" w:rsidRPr="00457302" w:rsidRDefault="00B016F8">
            <w:pPr>
              <w:jc w:val="center"/>
              <w:rPr>
                <w:szCs w:val="20"/>
              </w:rPr>
            </w:pPr>
            <w:r w:rsidRPr="00457302">
              <w:rPr>
                <w:rFonts w:hint="eastAsia"/>
                <w:szCs w:val="20"/>
              </w:rPr>
              <w:t>第一三共エスファ株式会社</w:t>
            </w:r>
          </w:p>
        </w:tc>
        <w:tc>
          <w:tcPr>
            <w:tcW w:w="4286" w:type="dxa"/>
            <w:vAlign w:val="center"/>
          </w:tcPr>
          <w:p w14:paraId="784036BD" w14:textId="77777777" w:rsidR="00B016F8" w:rsidRPr="00B016F8" w:rsidRDefault="00B016F8" w:rsidP="00E65BBD">
            <w:pPr>
              <w:jc w:val="center"/>
              <w:rPr>
                <w:szCs w:val="20"/>
              </w:rPr>
            </w:pPr>
          </w:p>
        </w:tc>
      </w:tr>
      <w:tr w:rsidR="00B016F8" w14:paraId="4E440DEB" w14:textId="77777777" w:rsidTr="006C1C24">
        <w:trPr>
          <w:trHeight w:hRule="exact" w:val="284"/>
        </w:trPr>
        <w:tc>
          <w:tcPr>
            <w:tcW w:w="1563" w:type="dxa"/>
            <w:vAlign w:val="center"/>
          </w:tcPr>
          <w:p w14:paraId="37EFDCAC" w14:textId="77777777" w:rsidR="00B016F8" w:rsidRPr="00075F31" w:rsidRDefault="00114E3C" w:rsidP="00457302">
            <w:pPr>
              <w:jc w:val="distribute"/>
              <w:rPr>
                <w:rFonts w:ascii="Arial" w:eastAsia="ＭＳ ゴシック" w:hAnsi="Arial"/>
              </w:rPr>
            </w:pPr>
            <w:r>
              <w:rPr>
                <w:rFonts w:ascii="Arial" w:eastAsia="ＭＳ ゴシック" w:hAnsi="ＭＳ ゴシック" w:hint="eastAsia"/>
              </w:rPr>
              <w:t>製</w:t>
            </w:r>
            <w:r w:rsidR="00B016F8" w:rsidRPr="00075F31">
              <w:rPr>
                <w:rFonts w:ascii="Arial" w:eastAsia="ＭＳ ゴシック" w:hAnsi="ＭＳ ゴシック" w:hint="eastAsia"/>
              </w:rPr>
              <w:t xml:space="preserve">　　品　　名</w:t>
            </w:r>
          </w:p>
        </w:tc>
        <w:tc>
          <w:tcPr>
            <w:tcW w:w="4285" w:type="dxa"/>
            <w:gridSpan w:val="2"/>
            <w:vAlign w:val="center"/>
          </w:tcPr>
          <w:p w14:paraId="07F1746D" w14:textId="110F9B73" w:rsidR="00B016F8" w:rsidRPr="004E34DB" w:rsidRDefault="00816F47" w:rsidP="00764F87">
            <w:pPr>
              <w:jc w:val="center"/>
              <w:rPr>
                <w:rFonts w:ascii="Arial" w:eastAsia="ＭＳ ゴシック" w:hAnsi="Arial"/>
                <w:vertAlign w:val="subscript"/>
              </w:rPr>
            </w:pPr>
            <w:r w:rsidRPr="00816F47">
              <w:rPr>
                <w:rFonts w:ascii="Arial" w:eastAsia="ＭＳ ゴシック" w:hAnsi="Arial" w:hint="eastAsia"/>
              </w:rPr>
              <w:t>アマルエット</w:t>
            </w:r>
            <w:r w:rsidR="000D3791">
              <w:rPr>
                <w:rFonts w:ascii="Arial" w:eastAsia="ＭＳ ゴシック" w:hAnsi="Arial" w:hint="eastAsia"/>
              </w:rPr>
              <w:t>配合錠</w:t>
            </w:r>
            <w:r w:rsidR="000D3791">
              <w:rPr>
                <w:rFonts w:ascii="Arial" w:eastAsia="ＭＳ ゴシック" w:hAnsi="Arial" w:hint="eastAsia"/>
              </w:rPr>
              <w:t>1</w:t>
            </w:r>
            <w:r w:rsidR="000D3791">
              <w:rPr>
                <w:rFonts w:ascii="Arial" w:eastAsia="ＭＳ ゴシック" w:hAnsi="Arial" w:hint="eastAsia"/>
              </w:rPr>
              <w:t>番</w:t>
            </w:r>
            <w:r w:rsidRPr="00816F47">
              <w:rPr>
                <w:rFonts w:ascii="Arial" w:eastAsia="ＭＳ ゴシック" w:hAnsi="Arial" w:hint="eastAsia"/>
              </w:rPr>
              <w:t>「</w:t>
            </w:r>
            <w:r w:rsidRPr="00816F47">
              <w:rPr>
                <w:rFonts w:ascii="Arial" w:eastAsia="ＭＳ ゴシック" w:hAnsi="Arial" w:hint="eastAsia"/>
              </w:rPr>
              <w:t>DSEP</w:t>
            </w:r>
            <w:r w:rsidRPr="00816F47">
              <w:rPr>
                <w:rFonts w:ascii="Arial" w:eastAsia="ＭＳ ゴシック" w:hAnsi="Arial" w:hint="eastAsia"/>
              </w:rPr>
              <w:t>」</w:t>
            </w:r>
          </w:p>
        </w:tc>
        <w:tc>
          <w:tcPr>
            <w:tcW w:w="4286" w:type="dxa"/>
            <w:vAlign w:val="center"/>
          </w:tcPr>
          <w:p w14:paraId="550C2714" w14:textId="77777777" w:rsidR="00B016F8" w:rsidRPr="003714DA" w:rsidRDefault="003714DA" w:rsidP="00CC5333">
            <w:pPr>
              <w:jc w:val="center"/>
              <w:rPr>
                <w:rFonts w:ascii="Arial" w:eastAsia="ＭＳ ゴシック" w:hAnsi="Arial" w:cs="Arial"/>
              </w:rPr>
            </w:pPr>
            <w:r w:rsidRPr="003714DA">
              <w:rPr>
                <w:rFonts w:ascii="Arial" w:eastAsia="ＭＳ ゴシック" w:hAnsi="Arial" w:cs="Arial"/>
              </w:rPr>
              <w:t>カデュエット配合錠</w:t>
            </w:r>
            <w:r w:rsidRPr="003714DA">
              <w:rPr>
                <w:rFonts w:ascii="Arial" w:eastAsia="ＭＳ ゴシック" w:hAnsi="Arial" w:cs="Arial"/>
              </w:rPr>
              <w:t>1</w:t>
            </w:r>
            <w:r w:rsidRPr="003714DA">
              <w:rPr>
                <w:rFonts w:ascii="Arial" w:eastAsia="ＭＳ ゴシック" w:hAnsi="Arial" w:cs="Arial"/>
              </w:rPr>
              <w:t>番</w:t>
            </w:r>
          </w:p>
        </w:tc>
      </w:tr>
      <w:tr w:rsidR="00B016F8" w14:paraId="60B0BB14" w14:textId="77777777" w:rsidTr="006C1C24">
        <w:trPr>
          <w:trHeight w:hRule="exact" w:val="454"/>
        </w:trPr>
        <w:tc>
          <w:tcPr>
            <w:tcW w:w="1563" w:type="dxa"/>
            <w:vAlign w:val="center"/>
          </w:tcPr>
          <w:p>
            <w:pPr>
              <w:jc w:val="distribute"/>
            </w:pPr>
            <w:r>
              <w:rPr>
                <w:rFonts w:ascii="MS Gothic" w:hAnsi="MS Gothic" w:eastAsia="MS Gothic"/>
                <w:sz w:val="20"/>
              </w:rPr>
              <w:t>薬価</w:t>
            </w:r>
          </w:p>
          <w:p>
            <w:pPr>
              <w:jc w:val="distribute"/>
            </w:pPr>
            <w:r>
              <w:rPr>
                <w:rFonts w:ascii="Arial" w:hAnsi="Arial" w:eastAsia="MS Gothic"/>
                <w:sz w:val="12"/>
              </w:rPr>
              <w:t>（2026年4月1日時点）</w:t>
            </w:r>
          </w:p>
        </w:tc>
        <w:tc>
          <w:tcPr>
            <w:tcW w:w="4285" w:type="dxa"/>
            <w:gridSpan w:val="2"/>
            <w:vAlign w:val="center"/>
          </w:tcPr>
          <w:p>
            <w:pPr>
              <w:jc w:val="center"/>
            </w:pPr>
            <w:r>
              <w:t>10.50円</w:t>
            </w:r>
          </w:p>
        </w:tc>
        <w:tc>
          <w:tcPr>
            <w:tcW w:w="4286" w:type="dxa"/>
            <w:vAlign w:val="center"/>
          </w:tcPr>
          <w:p>
            <w:pPr>
              <w:jc w:val="center"/>
            </w:pPr>
            <w:r>
              <w:t>28.60円</w:t>
            </w:r>
          </w:p>
        </w:tc>
      </w:tr>
      <w:tr w:rsidR="00127B50" w14:paraId="65A70023" w14:textId="77777777" w:rsidTr="00127B50">
        <w:trPr>
          <w:trHeight w:hRule="exact" w:val="227"/>
        </w:trPr>
        <w:tc>
          <w:tcPr>
            <w:tcW w:w="1563" w:type="dxa"/>
            <w:vMerge w:val="restart"/>
            <w:vAlign w:val="center"/>
          </w:tcPr>
          <w:p w14:paraId="7705D2BE" w14:textId="77777777" w:rsidR="00127B50" w:rsidRPr="00075F31" w:rsidRDefault="00127B50" w:rsidP="00457302">
            <w:pPr>
              <w:jc w:val="distribute"/>
              <w:rPr>
                <w:rFonts w:ascii="Arial" w:eastAsia="ＭＳ ゴシック" w:hAnsi="Arial"/>
              </w:rPr>
            </w:pPr>
            <w:r w:rsidRPr="00075F31">
              <w:rPr>
                <w:rFonts w:ascii="Arial" w:eastAsia="ＭＳ ゴシック" w:hAnsi="ＭＳ ゴシック" w:hint="eastAsia"/>
              </w:rPr>
              <w:t>規　　　　　格</w:t>
            </w:r>
          </w:p>
        </w:tc>
        <w:tc>
          <w:tcPr>
            <w:tcW w:w="833" w:type="dxa"/>
            <w:tcBorders>
              <w:bottom w:val="single" w:sz="4" w:space="0" w:color="FFFFFF"/>
              <w:right w:val="single" w:sz="4" w:space="0" w:color="FFFFFF"/>
            </w:tcBorders>
            <w:tcMar>
              <w:left w:w="0" w:type="dxa"/>
              <w:right w:w="0" w:type="dxa"/>
            </w:tcMar>
          </w:tcPr>
          <w:p w14:paraId="3572B31E" w14:textId="77777777" w:rsidR="00127B50" w:rsidRPr="00AC0699" w:rsidDel="00013E5D" w:rsidRDefault="00127B50" w:rsidP="00E5379A">
            <w:pPr>
              <w:wordWrap w:val="0"/>
              <w:jc w:val="right"/>
              <w:rPr>
                <w:sz w:val="18"/>
                <w:szCs w:val="18"/>
              </w:rPr>
            </w:pPr>
            <w:r w:rsidRPr="00AC0699">
              <w:rPr>
                <w:rFonts w:hint="eastAsia"/>
                <w:sz w:val="18"/>
                <w:szCs w:val="18"/>
              </w:rPr>
              <w:t xml:space="preserve">1 </w:t>
            </w:r>
            <w:r w:rsidRPr="00AC0699">
              <w:rPr>
                <w:rFonts w:hint="eastAsia"/>
                <w:sz w:val="18"/>
                <w:szCs w:val="18"/>
              </w:rPr>
              <w:t>錠中</w:t>
            </w:r>
            <w:r w:rsidR="0019487D">
              <w:rPr>
                <w:rFonts w:hint="eastAsia"/>
                <w:sz w:val="18"/>
                <w:szCs w:val="18"/>
              </w:rPr>
              <w:t xml:space="preserve">　</w:t>
            </w:r>
          </w:p>
        </w:tc>
        <w:tc>
          <w:tcPr>
            <w:tcW w:w="7738" w:type="dxa"/>
            <w:gridSpan w:val="2"/>
            <w:vMerge w:val="restart"/>
            <w:tcBorders>
              <w:left w:val="single" w:sz="4" w:space="0" w:color="FFFFFF"/>
            </w:tcBorders>
            <w:vAlign w:val="center"/>
          </w:tcPr>
          <w:p w14:paraId="0C4E558D" w14:textId="77777777" w:rsidR="00127B50" w:rsidRPr="00AC0699" w:rsidRDefault="00127B50" w:rsidP="00791991">
            <w:pPr>
              <w:spacing w:line="200" w:lineRule="exact"/>
              <w:ind w:leftChars="-45" w:left="-9" w:hangingChars="45" w:hanging="77"/>
              <w:rPr>
                <w:sz w:val="18"/>
                <w:szCs w:val="18"/>
              </w:rPr>
            </w:pPr>
            <w:r w:rsidRPr="00127B50">
              <w:rPr>
                <w:rFonts w:ascii="ＭＳ ゴシック" w:eastAsia="ＭＳ ゴシック" w:hAnsi="ＭＳ ゴシック" w:hint="eastAsia"/>
                <w:sz w:val="18"/>
                <w:szCs w:val="18"/>
              </w:rPr>
              <w:t>アムロジピンベシル酸塩（日局）</w:t>
            </w:r>
            <w:r w:rsidRPr="00AC0699">
              <w:rPr>
                <w:rFonts w:hint="eastAsia"/>
                <w:sz w:val="18"/>
                <w:szCs w:val="18"/>
              </w:rPr>
              <w:t>3.47mg</w:t>
            </w:r>
            <w:r w:rsidRPr="00AC0699">
              <w:rPr>
                <w:rFonts w:hint="eastAsia"/>
                <w:sz w:val="18"/>
                <w:szCs w:val="18"/>
              </w:rPr>
              <w:t>（</w:t>
            </w:r>
            <w:r w:rsidRPr="00127B50">
              <w:rPr>
                <w:rFonts w:ascii="ＭＳ ゴシック" w:eastAsia="ＭＳ ゴシック" w:hAnsi="ＭＳ ゴシック" w:hint="eastAsia"/>
                <w:sz w:val="18"/>
                <w:szCs w:val="18"/>
              </w:rPr>
              <w:t>アムロジピン</w:t>
            </w:r>
            <w:r w:rsidRPr="00AC0699">
              <w:rPr>
                <w:rFonts w:hint="eastAsia"/>
                <w:sz w:val="18"/>
                <w:szCs w:val="18"/>
              </w:rPr>
              <w:t>として</w:t>
            </w:r>
            <w:r w:rsidRPr="00AC0699">
              <w:rPr>
                <w:rFonts w:hint="eastAsia"/>
                <w:sz w:val="18"/>
                <w:szCs w:val="18"/>
              </w:rPr>
              <w:t>2.5mg</w:t>
            </w:r>
            <w:r w:rsidRPr="00AC0699">
              <w:rPr>
                <w:rFonts w:hint="eastAsia"/>
                <w:sz w:val="18"/>
                <w:szCs w:val="18"/>
              </w:rPr>
              <w:t>）及び</w:t>
            </w:r>
          </w:p>
          <w:p w14:paraId="3434B8EC" w14:textId="77777777" w:rsidR="00127B50" w:rsidRPr="00AC0699" w:rsidRDefault="00127B50" w:rsidP="00791991">
            <w:pPr>
              <w:spacing w:line="200" w:lineRule="exact"/>
              <w:ind w:leftChars="-45" w:left="-9" w:hangingChars="45" w:hanging="77"/>
              <w:rPr>
                <w:sz w:val="18"/>
                <w:szCs w:val="18"/>
              </w:rPr>
            </w:pPr>
            <w:r w:rsidRPr="00127B50">
              <w:rPr>
                <w:rFonts w:ascii="ＭＳ ゴシック" w:eastAsia="ＭＳ ゴシック" w:hAnsi="ＭＳ ゴシック"/>
                <w:sz w:val="18"/>
                <w:szCs w:val="18"/>
              </w:rPr>
              <w:t>アトルバスタチンカルシウム水和物（日局）</w:t>
            </w:r>
            <w:r w:rsidRPr="00AC0699">
              <w:rPr>
                <w:sz w:val="18"/>
                <w:szCs w:val="18"/>
              </w:rPr>
              <w:t>5.425mg</w:t>
            </w:r>
            <w:r w:rsidRPr="00AC0699">
              <w:rPr>
                <w:sz w:val="18"/>
                <w:szCs w:val="18"/>
              </w:rPr>
              <w:t>（</w:t>
            </w:r>
            <w:r w:rsidR="003838C0">
              <w:rPr>
                <w:rFonts w:ascii="ＭＳ ゴシック" w:eastAsia="ＭＳ ゴシック" w:hAnsi="ＭＳ ゴシック"/>
                <w:sz w:val="18"/>
                <w:szCs w:val="18"/>
              </w:rPr>
              <w:t>アトルバ</w:t>
            </w:r>
            <w:r w:rsidR="003838C0">
              <w:rPr>
                <w:rFonts w:ascii="ＭＳ ゴシック" w:eastAsia="ＭＳ ゴシック" w:hAnsi="ＭＳ ゴシック" w:hint="eastAsia"/>
                <w:sz w:val="18"/>
                <w:szCs w:val="18"/>
              </w:rPr>
              <w:t>ス</w:t>
            </w:r>
            <w:r w:rsidRPr="00127B50">
              <w:rPr>
                <w:rFonts w:ascii="ＭＳ ゴシック" w:eastAsia="ＭＳ ゴシック" w:hAnsi="ＭＳ ゴシック"/>
                <w:sz w:val="18"/>
                <w:szCs w:val="18"/>
              </w:rPr>
              <w:t>タチン</w:t>
            </w:r>
            <w:r w:rsidRPr="00AC0699">
              <w:rPr>
                <w:sz w:val="18"/>
                <w:szCs w:val="18"/>
              </w:rPr>
              <w:t>として</w:t>
            </w:r>
            <w:r w:rsidRPr="00AC0699">
              <w:rPr>
                <w:sz w:val="18"/>
                <w:szCs w:val="18"/>
              </w:rPr>
              <w:t>5mg</w:t>
            </w:r>
            <w:r w:rsidRPr="00AC0699">
              <w:rPr>
                <w:sz w:val="18"/>
                <w:szCs w:val="18"/>
              </w:rPr>
              <w:t>）</w:t>
            </w:r>
          </w:p>
        </w:tc>
      </w:tr>
      <w:tr w:rsidR="00127B50" w14:paraId="036EDCB3" w14:textId="77777777" w:rsidTr="006B6BD9">
        <w:trPr>
          <w:trHeight w:hRule="exact" w:val="199"/>
        </w:trPr>
        <w:tc>
          <w:tcPr>
            <w:tcW w:w="1563" w:type="dxa"/>
            <w:vMerge/>
            <w:vAlign w:val="center"/>
          </w:tcPr>
          <w:p w14:paraId="52BD26B7" w14:textId="77777777" w:rsidR="00127B50" w:rsidRPr="00075F31" w:rsidRDefault="00127B50" w:rsidP="00457302">
            <w:pPr>
              <w:jc w:val="distribute"/>
              <w:rPr>
                <w:rFonts w:ascii="Arial" w:eastAsia="ＭＳ ゴシック" w:hAnsi="ＭＳ ゴシック"/>
              </w:rPr>
            </w:pPr>
          </w:p>
        </w:tc>
        <w:tc>
          <w:tcPr>
            <w:tcW w:w="833" w:type="dxa"/>
            <w:tcBorders>
              <w:top w:val="single" w:sz="4" w:space="0" w:color="FFFFFF"/>
              <w:right w:val="single" w:sz="4" w:space="0" w:color="FFFFFF"/>
            </w:tcBorders>
            <w:tcMar>
              <w:left w:w="0" w:type="dxa"/>
              <w:right w:w="0" w:type="dxa"/>
            </w:tcMar>
            <w:vAlign w:val="center"/>
          </w:tcPr>
          <w:p w14:paraId="3D8318D1" w14:textId="77777777" w:rsidR="00127B50" w:rsidRPr="00AC0699" w:rsidDel="00013E5D" w:rsidRDefault="00127B50" w:rsidP="00E5379A">
            <w:pPr>
              <w:rPr>
                <w:sz w:val="18"/>
                <w:szCs w:val="18"/>
              </w:rPr>
            </w:pPr>
          </w:p>
        </w:tc>
        <w:tc>
          <w:tcPr>
            <w:tcW w:w="7738" w:type="dxa"/>
            <w:gridSpan w:val="2"/>
            <w:vMerge/>
            <w:tcBorders>
              <w:left w:val="single" w:sz="4" w:space="0" w:color="FFFFFF"/>
            </w:tcBorders>
            <w:vAlign w:val="center"/>
          </w:tcPr>
          <w:p w14:paraId="695BD7B3" w14:textId="77777777" w:rsidR="00127B50" w:rsidRPr="00AC0699" w:rsidDel="00013E5D" w:rsidRDefault="00127B50" w:rsidP="006C1C24">
            <w:pPr>
              <w:ind w:leftChars="-45" w:left="-9" w:hangingChars="45" w:hanging="77"/>
              <w:rPr>
                <w:sz w:val="18"/>
                <w:szCs w:val="18"/>
              </w:rPr>
            </w:pPr>
          </w:p>
        </w:tc>
      </w:tr>
      <w:tr w:rsidR="00114E3C" w14:paraId="6D99AD85" w14:textId="77777777" w:rsidTr="006C1C24">
        <w:trPr>
          <w:trHeight w:val="940"/>
        </w:trPr>
        <w:tc>
          <w:tcPr>
            <w:tcW w:w="1563" w:type="dxa"/>
            <w:vAlign w:val="center"/>
          </w:tcPr>
          <w:p w14:paraId="4F157D5E" w14:textId="77777777" w:rsidR="00114E3C" w:rsidRPr="00075F31" w:rsidRDefault="00114E3C" w:rsidP="00114E3C">
            <w:pPr>
              <w:jc w:val="distribute"/>
              <w:rPr>
                <w:rFonts w:ascii="Arial" w:eastAsia="ＭＳ ゴシック" w:hAnsi="Arial"/>
              </w:rPr>
            </w:pPr>
            <w:r w:rsidRPr="00075F31">
              <w:rPr>
                <w:rFonts w:ascii="Arial" w:eastAsia="ＭＳ ゴシック" w:hAnsi="ＭＳ ゴシック" w:hint="eastAsia"/>
              </w:rPr>
              <w:t>添加物</w:t>
            </w:r>
          </w:p>
        </w:tc>
        <w:tc>
          <w:tcPr>
            <w:tcW w:w="4285" w:type="dxa"/>
            <w:gridSpan w:val="2"/>
            <w:tcBorders>
              <w:right w:val="single" w:sz="4" w:space="0" w:color="auto"/>
            </w:tcBorders>
            <w:tcMar>
              <w:top w:w="28" w:type="dxa"/>
              <w:bottom w:w="28" w:type="dxa"/>
            </w:tcMar>
          </w:tcPr>
          <w:p w14:paraId="06775DC9" w14:textId="77777777" w:rsidR="00114E3C" w:rsidRPr="00AC0699" w:rsidRDefault="00114E3C" w:rsidP="00114E3C">
            <w:pPr>
              <w:pStyle w:val="L3b"/>
              <w:spacing w:line="200" w:lineRule="exact"/>
              <w:ind w:left="0"/>
              <w:rPr>
                <w:sz w:val="18"/>
                <w:szCs w:val="18"/>
              </w:rPr>
            </w:pPr>
            <w:r w:rsidRPr="00AC0699">
              <w:rPr>
                <w:rFonts w:hint="eastAsia"/>
                <w:sz w:val="18"/>
                <w:szCs w:val="18"/>
              </w:rPr>
              <w:t>結晶セルロース、沈降炭酸カルシウム、炭酸マグネシウム、アルファー化デンプン、クロスカルメロースナトリウム、ステアリン酸マグネシウム、ヒドロキシプロピルセルロース、ポリビニルアルコール・アクリル酸・メタクリル酸メチル共重合体、タルク、酸化チタン、黄色三二酸化鉄、カルナウバロウ</w:t>
            </w:r>
          </w:p>
        </w:tc>
        <w:tc>
          <w:tcPr>
            <w:tcW w:w="4286" w:type="dxa"/>
            <w:tcBorders>
              <w:left w:val="single" w:sz="4" w:space="0" w:color="auto"/>
            </w:tcBorders>
            <w:tcMar>
              <w:left w:w="57" w:type="dxa"/>
              <w:right w:w="57" w:type="dxa"/>
            </w:tcMar>
          </w:tcPr>
          <w:p w14:paraId="2C55AB4F" w14:textId="77777777" w:rsidR="00114E3C" w:rsidRPr="00147019" w:rsidRDefault="00114E3C" w:rsidP="00114E3C">
            <w:pPr>
              <w:pStyle w:val="L3b"/>
              <w:spacing w:line="200" w:lineRule="exact"/>
              <w:ind w:left="0"/>
              <w:rPr>
                <w:sz w:val="16"/>
                <w:szCs w:val="16"/>
              </w:rPr>
            </w:pPr>
            <w:r w:rsidRPr="00AC0699">
              <w:rPr>
                <w:rFonts w:ascii="ＭＳ 明朝" w:hAnsi="ＭＳ 明朝" w:cs="MS-Mincho" w:hint="eastAsia"/>
                <w:sz w:val="18"/>
                <w:szCs w:val="18"/>
              </w:rPr>
              <w:t>沈降炭酸カルシウム、</w:t>
            </w:r>
            <w:r w:rsidR="00EE6533" w:rsidRPr="00AC0699">
              <w:rPr>
                <w:rFonts w:ascii="ＭＳ 明朝" w:hAnsi="ＭＳ 明朝" w:cs="MS-Mincho" w:hint="eastAsia"/>
                <w:sz w:val="18"/>
                <w:szCs w:val="18"/>
              </w:rPr>
              <w:t>結晶セルロース、</w:t>
            </w:r>
            <w:r w:rsidR="0019487D">
              <w:rPr>
                <w:rFonts w:hint="eastAsia"/>
                <w:sz w:val="18"/>
                <w:szCs w:val="18"/>
              </w:rPr>
              <w:t>部分</w:t>
            </w:r>
            <w:r w:rsidRPr="00AC0699">
              <w:rPr>
                <w:rFonts w:hint="eastAsia"/>
                <w:sz w:val="18"/>
                <w:szCs w:val="18"/>
              </w:rPr>
              <w:t>アルファー化デンプン、ヒドロキシプロピルセルロース、</w:t>
            </w:r>
            <w:r w:rsidR="00EE6533" w:rsidRPr="00AC0699">
              <w:rPr>
                <w:rFonts w:ascii="ＭＳ 明朝" w:hAnsi="ＭＳ 明朝" w:cs="MS-Mincho" w:hint="eastAsia"/>
                <w:sz w:val="18"/>
                <w:szCs w:val="18"/>
              </w:rPr>
              <w:t>クロスカルメロース</w:t>
            </w:r>
            <w:r w:rsidR="00EE6533" w:rsidRPr="00AC0699">
              <w:rPr>
                <w:rFonts w:hint="eastAsia"/>
                <w:sz w:val="18"/>
                <w:szCs w:val="18"/>
              </w:rPr>
              <w:t>ナトリウム、</w:t>
            </w:r>
            <w:r w:rsidRPr="00AC0699">
              <w:rPr>
                <w:rFonts w:hint="eastAsia"/>
                <w:sz w:val="18"/>
                <w:szCs w:val="18"/>
              </w:rPr>
              <w:t>ポリソルベート</w:t>
            </w:r>
            <w:r w:rsidRPr="00AC0699">
              <w:rPr>
                <w:rFonts w:hint="eastAsia"/>
                <w:sz w:val="18"/>
                <w:szCs w:val="18"/>
              </w:rPr>
              <w:t>80</w:t>
            </w:r>
            <w:r w:rsidRPr="00AC0699">
              <w:rPr>
                <w:rFonts w:hint="eastAsia"/>
                <w:sz w:val="18"/>
                <w:szCs w:val="18"/>
              </w:rPr>
              <w:t>、軽質無水ケイ酸、ステアリン酸マグネシウム、ポリビニルアルコール（部分けん化物）、酸化チタン、マクロゴール</w:t>
            </w:r>
            <w:r w:rsidRPr="00AC0699">
              <w:rPr>
                <w:rFonts w:hint="eastAsia"/>
                <w:sz w:val="18"/>
                <w:szCs w:val="18"/>
              </w:rPr>
              <w:t>4000</w:t>
            </w:r>
            <w:r w:rsidRPr="00AC0699">
              <w:rPr>
                <w:rFonts w:hint="eastAsia"/>
                <w:sz w:val="18"/>
                <w:szCs w:val="18"/>
              </w:rPr>
              <w:t>、タルク</w:t>
            </w:r>
          </w:p>
        </w:tc>
      </w:tr>
      <w:tr w:rsidR="00114E3C" w14:paraId="51B9DD3D" w14:textId="77777777" w:rsidTr="0071103E">
        <w:trPr>
          <w:trHeight w:hRule="exact" w:val="284"/>
        </w:trPr>
        <w:tc>
          <w:tcPr>
            <w:tcW w:w="1563" w:type="dxa"/>
            <w:vAlign w:val="center"/>
          </w:tcPr>
          <w:p w14:paraId="3BA2AD85" w14:textId="77777777" w:rsidR="00114E3C" w:rsidRPr="00075F31" w:rsidRDefault="00114E3C" w:rsidP="00114E3C">
            <w:pPr>
              <w:jc w:val="distribute"/>
              <w:rPr>
                <w:rFonts w:ascii="Arial" w:eastAsia="ＭＳ ゴシック" w:hAnsi="Arial"/>
              </w:rPr>
            </w:pPr>
            <w:r w:rsidRPr="00075F31">
              <w:rPr>
                <w:rFonts w:ascii="Arial" w:eastAsia="ＭＳ ゴシック" w:hAnsi="ＭＳ ゴシック" w:hint="eastAsia"/>
              </w:rPr>
              <w:t>薬効分類名</w:t>
            </w:r>
          </w:p>
        </w:tc>
        <w:tc>
          <w:tcPr>
            <w:tcW w:w="8571" w:type="dxa"/>
            <w:gridSpan w:val="3"/>
            <w:vAlign w:val="center"/>
          </w:tcPr>
          <w:p w14:paraId="6AE797DD" w14:textId="77777777" w:rsidR="00114E3C" w:rsidRPr="00AC0699" w:rsidRDefault="00114E3C" w:rsidP="00114E3C">
            <w:pPr>
              <w:pStyle w:val="a3"/>
              <w:tabs>
                <w:tab w:val="clear" w:pos="4252"/>
                <w:tab w:val="clear" w:pos="8504"/>
              </w:tabs>
              <w:snapToGrid/>
              <w:jc w:val="center"/>
              <w:rPr>
                <w:rFonts w:ascii="ＭＳ 明朝" w:hAnsi="ＭＳ 明朝"/>
                <w:sz w:val="18"/>
                <w:szCs w:val="18"/>
              </w:rPr>
            </w:pPr>
            <w:r w:rsidRPr="00AC0699">
              <w:rPr>
                <w:rFonts w:hint="eastAsia"/>
                <w:sz w:val="18"/>
                <w:szCs w:val="18"/>
              </w:rPr>
              <w:t>持続性</w:t>
            </w:r>
            <w:r w:rsidRPr="00AC0699">
              <w:rPr>
                <w:rFonts w:hint="eastAsia"/>
                <w:sz w:val="18"/>
                <w:szCs w:val="18"/>
              </w:rPr>
              <w:t>Ca</w:t>
            </w:r>
            <w:r w:rsidRPr="00AC0699">
              <w:rPr>
                <w:rFonts w:hint="eastAsia"/>
                <w:sz w:val="18"/>
                <w:szCs w:val="18"/>
              </w:rPr>
              <w:t>拮抗薬／</w:t>
            </w:r>
            <w:r w:rsidRPr="00AC0699">
              <w:rPr>
                <w:rFonts w:hint="eastAsia"/>
                <w:sz w:val="18"/>
                <w:szCs w:val="18"/>
              </w:rPr>
              <w:t>HMG-CoA</w:t>
            </w:r>
            <w:r w:rsidRPr="00AC0699">
              <w:rPr>
                <w:rFonts w:hint="eastAsia"/>
                <w:sz w:val="18"/>
                <w:szCs w:val="18"/>
              </w:rPr>
              <w:t>還元酵素阻害剤</w:t>
            </w:r>
          </w:p>
        </w:tc>
      </w:tr>
      <w:tr w:rsidR="00114E3C" w14:paraId="250F602A" w14:textId="77777777" w:rsidTr="006C1C24">
        <w:trPr>
          <w:trHeight w:val="1020"/>
        </w:trPr>
        <w:tc>
          <w:tcPr>
            <w:tcW w:w="1563" w:type="dxa"/>
            <w:vAlign w:val="center"/>
          </w:tcPr>
          <w:p w14:paraId="626952FC" w14:textId="77777777" w:rsidR="00114E3C" w:rsidRPr="00075F31" w:rsidRDefault="00114E3C" w:rsidP="00114E3C">
            <w:pPr>
              <w:jc w:val="distribute"/>
              <w:rPr>
                <w:rFonts w:ascii="Arial" w:eastAsia="ＭＳ ゴシック" w:hAnsi="Arial"/>
              </w:rPr>
            </w:pPr>
            <w:r w:rsidRPr="00075F31">
              <w:rPr>
                <w:rFonts w:ascii="Arial" w:eastAsia="ＭＳ ゴシック" w:hAnsi="ＭＳ ゴシック" w:hint="eastAsia"/>
              </w:rPr>
              <w:t>効能・効果</w:t>
            </w:r>
          </w:p>
        </w:tc>
        <w:tc>
          <w:tcPr>
            <w:tcW w:w="8571" w:type="dxa"/>
            <w:gridSpan w:val="3"/>
            <w:tcMar>
              <w:top w:w="28" w:type="dxa"/>
              <w:bottom w:w="11" w:type="dxa"/>
            </w:tcMar>
          </w:tcPr>
          <w:p w14:paraId="7DA187FA" w14:textId="77777777" w:rsidR="00114E3C" w:rsidRPr="00AC0699" w:rsidRDefault="00114E3C" w:rsidP="00114E3C">
            <w:pPr>
              <w:spacing w:line="180" w:lineRule="exact"/>
              <w:jc w:val="both"/>
              <w:rPr>
                <w:sz w:val="18"/>
                <w:szCs w:val="18"/>
              </w:rPr>
            </w:pPr>
            <w:r w:rsidRPr="00AC0699">
              <w:rPr>
                <w:rFonts w:hint="eastAsia"/>
                <w:sz w:val="18"/>
                <w:szCs w:val="18"/>
              </w:rPr>
              <w:t>本剤（アムロジピン・アトルバスタチン配合剤）は、アムロジピン及びアトルバスタチンによる治療が適切である以下の患者に使用する。</w:t>
            </w:r>
          </w:p>
          <w:p w14:paraId="38EA7A61" w14:textId="77777777" w:rsidR="00114E3C" w:rsidRPr="00AC0699" w:rsidRDefault="00114E3C" w:rsidP="00114E3C">
            <w:pPr>
              <w:spacing w:line="180" w:lineRule="exact"/>
              <w:ind w:firstLineChars="100" w:firstLine="171"/>
              <w:jc w:val="both"/>
              <w:rPr>
                <w:sz w:val="18"/>
                <w:szCs w:val="18"/>
              </w:rPr>
            </w:pPr>
            <w:r w:rsidRPr="00AC0699">
              <w:rPr>
                <w:rFonts w:hint="eastAsia"/>
                <w:sz w:val="18"/>
                <w:szCs w:val="18"/>
              </w:rPr>
              <w:t>高血圧症又は狭心症と、高コレステロール血症又は家族性高コレステロール血症を併発している患者</w:t>
            </w:r>
          </w:p>
          <w:p w14:paraId="1665BF1F" w14:textId="77777777" w:rsidR="00114E3C" w:rsidRPr="00AC0699" w:rsidRDefault="00114E3C" w:rsidP="00114E3C">
            <w:pPr>
              <w:spacing w:line="180" w:lineRule="exact"/>
              <w:jc w:val="both"/>
              <w:rPr>
                <w:sz w:val="18"/>
                <w:szCs w:val="18"/>
              </w:rPr>
            </w:pPr>
            <w:r w:rsidRPr="00AC0699">
              <w:rPr>
                <w:rFonts w:hint="eastAsia"/>
                <w:sz w:val="18"/>
                <w:szCs w:val="18"/>
              </w:rPr>
              <w:t>なお、アムロジピンとアトルバスタチンの効能・効果は以下のとおりである。</w:t>
            </w:r>
          </w:p>
          <w:p w14:paraId="5861C09B" w14:textId="77777777" w:rsidR="00114E3C" w:rsidRPr="00AC0699" w:rsidRDefault="00114E3C" w:rsidP="00114E3C">
            <w:pPr>
              <w:pStyle w:val="L2b"/>
              <w:spacing w:line="180" w:lineRule="exact"/>
              <w:rPr>
                <w:rFonts w:ascii="Arial" w:eastAsia="ＭＳ ゴシック" w:hAnsi="Arial"/>
                <w:sz w:val="18"/>
                <w:szCs w:val="18"/>
              </w:rPr>
            </w:pPr>
            <w:r w:rsidRPr="00AC0699">
              <w:rPr>
                <w:rFonts w:ascii="Arial" w:eastAsia="ＭＳ ゴシック" w:hAnsi="Arial" w:hint="eastAsia"/>
                <w:sz w:val="18"/>
                <w:szCs w:val="18"/>
              </w:rPr>
              <w:t>アムロジピン：</w:t>
            </w:r>
            <w:r w:rsidRPr="00AC0699">
              <w:rPr>
                <w:rFonts w:hint="eastAsia"/>
                <w:sz w:val="18"/>
                <w:szCs w:val="18"/>
              </w:rPr>
              <w:t>高血圧症</w:t>
            </w:r>
            <w:r w:rsidRPr="00AC0699">
              <w:rPr>
                <w:rFonts w:ascii="ＭＳ 明朝" w:hAnsi="ＭＳ 明朝" w:hint="eastAsia"/>
                <w:sz w:val="18"/>
                <w:szCs w:val="18"/>
              </w:rPr>
              <w:t>、</w:t>
            </w:r>
            <w:r w:rsidRPr="00AC0699">
              <w:rPr>
                <w:rFonts w:hint="eastAsia"/>
                <w:sz w:val="18"/>
                <w:szCs w:val="18"/>
              </w:rPr>
              <w:t>狭心症</w:t>
            </w:r>
          </w:p>
          <w:p w14:paraId="3926EAED" w14:textId="77777777" w:rsidR="00114E3C" w:rsidRPr="00147019" w:rsidRDefault="00114E3C" w:rsidP="00114E3C">
            <w:pPr>
              <w:pStyle w:val="L2b"/>
              <w:spacing w:line="180" w:lineRule="exact"/>
              <w:rPr>
                <w:rFonts w:ascii="Arial" w:eastAsia="ＭＳ ゴシック" w:hAnsi="Arial"/>
                <w:sz w:val="16"/>
                <w:szCs w:val="16"/>
              </w:rPr>
            </w:pPr>
            <w:r w:rsidRPr="00AC0699">
              <w:rPr>
                <w:rFonts w:ascii="Arial" w:eastAsia="ＭＳ ゴシック" w:hAnsi="Arial" w:hint="eastAsia"/>
                <w:sz w:val="18"/>
                <w:szCs w:val="18"/>
              </w:rPr>
              <w:t>アトルバスタチン：</w:t>
            </w:r>
            <w:r w:rsidRPr="00AC0699">
              <w:rPr>
                <w:rFonts w:hint="eastAsia"/>
                <w:sz w:val="18"/>
                <w:szCs w:val="18"/>
              </w:rPr>
              <w:t>高コレステロール血症、家族性高コレステロール血症</w:t>
            </w:r>
          </w:p>
        </w:tc>
      </w:tr>
      <w:tr w:rsidR="00114E3C" w14:paraId="0EC289FA" w14:textId="77777777" w:rsidTr="0054575B">
        <w:trPr>
          <w:trHeight w:val="2958"/>
        </w:trPr>
        <w:tc>
          <w:tcPr>
            <w:tcW w:w="1563" w:type="dxa"/>
            <w:tcMar>
              <w:top w:w="57" w:type="dxa"/>
              <w:bottom w:w="57" w:type="dxa"/>
            </w:tcMar>
            <w:vAlign w:val="center"/>
          </w:tcPr>
          <w:p w14:paraId="59E8EB78" w14:textId="77777777" w:rsidR="00114E3C" w:rsidRPr="00075F31" w:rsidRDefault="00114E3C" w:rsidP="00114E3C">
            <w:pPr>
              <w:jc w:val="distribute"/>
              <w:rPr>
                <w:rFonts w:ascii="Arial" w:eastAsia="ＭＳ ゴシック" w:hAnsi="Arial"/>
              </w:rPr>
            </w:pPr>
            <w:r w:rsidRPr="00075F31">
              <w:rPr>
                <w:rFonts w:ascii="Arial" w:eastAsia="ＭＳ ゴシック" w:hAnsi="ＭＳ ゴシック" w:hint="eastAsia"/>
              </w:rPr>
              <w:t>用法・用量</w:t>
            </w:r>
          </w:p>
        </w:tc>
        <w:tc>
          <w:tcPr>
            <w:tcW w:w="8571" w:type="dxa"/>
            <w:gridSpan w:val="3"/>
            <w:tcMar>
              <w:top w:w="17" w:type="dxa"/>
              <w:bottom w:w="17" w:type="dxa"/>
            </w:tcMar>
            <w:vAlign w:val="center"/>
          </w:tcPr>
          <w:p w14:paraId="579E4DFB" w14:textId="77777777" w:rsidR="00114E3C" w:rsidRPr="00AC0699" w:rsidRDefault="00114E3C" w:rsidP="00114E3C">
            <w:pPr>
              <w:pStyle w:val="L2b"/>
              <w:spacing w:line="200" w:lineRule="exact"/>
              <w:ind w:left="0"/>
              <w:rPr>
                <w:sz w:val="18"/>
                <w:szCs w:val="18"/>
              </w:rPr>
            </w:pPr>
            <w:r w:rsidRPr="00AC0699">
              <w:rPr>
                <w:rFonts w:hint="eastAsia"/>
                <w:sz w:val="18"/>
                <w:szCs w:val="18"/>
              </w:rPr>
              <w:t>本剤（アムロジピン・アトルバスタチン配合剤）は、</w:t>
            </w:r>
            <w:r w:rsidRPr="00AC0699">
              <w:rPr>
                <w:rFonts w:hint="eastAsia"/>
                <w:sz w:val="18"/>
                <w:szCs w:val="18"/>
              </w:rPr>
              <w:t>1</w:t>
            </w:r>
            <w:r w:rsidRPr="00AC0699">
              <w:rPr>
                <w:rFonts w:hint="eastAsia"/>
                <w:sz w:val="18"/>
                <w:szCs w:val="18"/>
              </w:rPr>
              <w:t>日</w:t>
            </w:r>
            <w:r w:rsidRPr="00AC0699">
              <w:rPr>
                <w:rFonts w:hint="eastAsia"/>
                <w:sz w:val="18"/>
                <w:szCs w:val="18"/>
              </w:rPr>
              <w:t>1</w:t>
            </w:r>
            <w:r w:rsidRPr="00AC0699">
              <w:rPr>
                <w:rFonts w:hint="eastAsia"/>
                <w:sz w:val="18"/>
                <w:szCs w:val="18"/>
              </w:rPr>
              <w:t>回経口投与する。なお、以下のアムロジピンとアトルバスタチンの用法・用量に基づき、患者毎に用量を決めること。</w:t>
            </w:r>
          </w:p>
          <w:p w14:paraId="6F228BE5" w14:textId="77777777" w:rsidR="00114E3C" w:rsidRPr="00AC0699" w:rsidRDefault="00114E3C" w:rsidP="00114E3C">
            <w:pPr>
              <w:pStyle w:val="L2b"/>
              <w:spacing w:line="200" w:lineRule="exact"/>
              <w:rPr>
                <w:rFonts w:ascii="Arial" w:eastAsia="ＭＳ ゴシック" w:hAnsi="Arial"/>
                <w:sz w:val="18"/>
                <w:szCs w:val="18"/>
              </w:rPr>
            </w:pPr>
            <w:r w:rsidRPr="00AC0699">
              <w:rPr>
                <w:rFonts w:ascii="Arial" w:eastAsia="ＭＳ ゴシック" w:hAnsi="Arial" w:hint="eastAsia"/>
                <w:sz w:val="18"/>
                <w:szCs w:val="18"/>
              </w:rPr>
              <w:t>アムロジピン</w:t>
            </w:r>
          </w:p>
          <w:p w14:paraId="1B5DB7BF" w14:textId="77777777" w:rsidR="00114E3C" w:rsidRPr="00AC0699" w:rsidRDefault="00114E3C" w:rsidP="00114E3C">
            <w:pPr>
              <w:pStyle w:val="L2b"/>
              <w:spacing w:line="200" w:lineRule="exact"/>
              <w:rPr>
                <w:sz w:val="18"/>
                <w:szCs w:val="18"/>
              </w:rPr>
            </w:pPr>
            <w:r w:rsidRPr="00AC0699">
              <w:rPr>
                <w:rFonts w:hint="eastAsia"/>
                <w:sz w:val="18"/>
                <w:szCs w:val="18"/>
              </w:rPr>
              <w:t>・高血圧症</w:t>
            </w:r>
          </w:p>
          <w:p w14:paraId="755ECF0F" w14:textId="77777777" w:rsidR="00114E3C" w:rsidRPr="00AC0699" w:rsidRDefault="00114E3C" w:rsidP="00114E3C">
            <w:pPr>
              <w:pStyle w:val="L2b"/>
              <w:spacing w:line="200" w:lineRule="exact"/>
              <w:ind w:left="482"/>
              <w:rPr>
                <w:sz w:val="18"/>
                <w:szCs w:val="18"/>
              </w:rPr>
            </w:pPr>
            <w:r w:rsidRPr="00AC0699">
              <w:rPr>
                <w:rFonts w:hint="eastAsia"/>
                <w:sz w:val="18"/>
                <w:szCs w:val="18"/>
              </w:rPr>
              <w:t>通常、成人にはアムロジピンとして</w:t>
            </w:r>
            <w:r w:rsidRPr="00AC0699">
              <w:rPr>
                <w:rFonts w:hint="eastAsia"/>
                <w:sz w:val="18"/>
                <w:szCs w:val="18"/>
              </w:rPr>
              <w:t>2.5</w:t>
            </w:r>
            <w:r w:rsidRPr="00AC0699">
              <w:rPr>
                <w:rFonts w:hint="eastAsia"/>
                <w:sz w:val="18"/>
                <w:szCs w:val="18"/>
              </w:rPr>
              <w:t>～</w:t>
            </w:r>
            <w:r w:rsidRPr="00AC0699">
              <w:rPr>
                <w:rFonts w:hint="eastAsia"/>
                <w:sz w:val="18"/>
                <w:szCs w:val="18"/>
              </w:rPr>
              <w:t>5mg</w:t>
            </w:r>
            <w:r w:rsidRPr="00AC0699">
              <w:rPr>
                <w:rFonts w:hint="eastAsia"/>
                <w:sz w:val="18"/>
                <w:szCs w:val="18"/>
              </w:rPr>
              <w:t>を</w:t>
            </w:r>
            <w:r w:rsidRPr="00AC0699">
              <w:rPr>
                <w:rFonts w:hint="eastAsia"/>
                <w:sz w:val="18"/>
                <w:szCs w:val="18"/>
              </w:rPr>
              <w:t>1</w:t>
            </w:r>
            <w:r w:rsidRPr="00AC0699">
              <w:rPr>
                <w:rFonts w:hint="eastAsia"/>
                <w:sz w:val="18"/>
                <w:szCs w:val="18"/>
              </w:rPr>
              <w:t>日</w:t>
            </w:r>
            <w:r w:rsidRPr="00AC0699">
              <w:rPr>
                <w:rFonts w:hint="eastAsia"/>
                <w:sz w:val="18"/>
                <w:szCs w:val="18"/>
              </w:rPr>
              <w:t>1</w:t>
            </w:r>
            <w:r w:rsidRPr="00AC0699">
              <w:rPr>
                <w:rFonts w:hint="eastAsia"/>
                <w:sz w:val="18"/>
                <w:szCs w:val="18"/>
              </w:rPr>
              <w:t>回経口投与する。なお、症状に応じ適宜増減するが、効果不十分な場合には</w:t>
            </w:r>
            <w:r w:rsidRPr="00AC0699">
              <w:rPr>
                <w:rFonts w:hint="eastAsia"/>
                <w:sz w:val="18"/>
                <w:szCs w:val="18"/>
              </w:rPr>
              <w:t>1</w:t>
            </w:r>
            <w:r w:rsidRPr="00AC0699">
              <w:rPr>
                <w:rFonts w:hint="eastAsia"/>
                <w:sz w:val="18"/>
                <w:szCs w:val="18"/>
              </w:rPr>
              <w:t>日</w:t>
            </w:r>
            <w:r w:rsidRPr="00AC0699">
              <w:rPr>
                <w:rFonts w:hint="eastAsia"/>
                <w:sz w:val="18"/>
                <w:szCs w:val="18"/>
              </w:rPr>
              <w:t>1</w:t>
            </w:r>
            <w:r w:rsidRPr="00AC0699">
              <w:rPr>
                <w:rFonts w:hint="eastAsia"/>
                <w:sz w:val="18"/>
                <w:szCs w:val="18"/>
              </w:rPr>
              <w:t>回</w:t>
            </w:r>
            <w:r w:rsidRPr="00AC0699">
              <w:rPr>
                <w:rFonts w:hint="eastAsia"/>
                <w:sz w:val="18"/>
                <w:szCs w:val="18"/>
              </w:rPr>
              <w:t>10mg</w:t>
            </w:r>
            <w:r w:rsidRPr="00AC0699">
              <w:rPr>
                <w:rFonts w:hint="eastAsia"/>
                <w:sz w:val="18"/>
                <w:szCs w:val="18"/>
              </w:rPr>
              <w:t>まで増量することができる。</w:t>
            </w:r>
          </w:p>
          <w:p w14:paraId="513A66E3" w14:textId="77777777" w:rsidR="00114E3C" w:rsidRPr="00AC0699" w:rsidRDefault="00114E3C" w:rsidP="00114E3C">
            <w:pPr>
              <w:pStyle w:val="L2b"/>
              <w:spacing w:line="200" w:lineRule="exact"/>
              <w:rPr>
                <w:sz w:val="18"/>
                <w:szCs w:val="18"/>
              </w:rPr>
            </w:pPr>
            <w:r w:rsidRPr="00AC0699">
              <w:rPr>
                <w:rFonts w:hint="eastAsia"/>
                <w:sz w:val="18"/>
                <w:szCs w:val="18"/>
              </w:rPr>
              <w:t>・狭心症</w:t>
            </w:r>
          </w:p>
          <w:p w14:paraId="4889F6CB" w14:textId="77777777" w:rsidR="00114E3C" w:rsidRPr="00AC0699" w:rsidRDefault="00114E3C" w:rsidP="00114E3C">
            <w:pPr>
              <w:pStyle w:val="L2b"/>
              <w:spacing w:line="200" w:lineRule="exact"/>
              <w:ind w:left="482"/>
              <w:rPr>
                <w:sz w:val="18"/>
                <w:szCs w:val="18"/>
              </w:rPr>
            </w:pPr>
            <w:r w:rsidRPr="00AC0699">
              <w:rPr>
                <w:rFonts w:hint="eastAsia"/>
                <w:sz w:val="18"/>
                <w:szCs w:val="18"/>
              </w:rPr>
              <w:t>通常、成人にはアムロジピンとして</w:t>
            </w:r>
            <w:r w:rsidRPr="00AC0699">
              <w:rPr>
                <w:rFonts w:hint="eastAsia"/>
                <w:sz w:val="18"/>
                <w:szCs w:val="18"/>
              </w:rPr>
              <w:t>5mg</w:t>
            </w:r>
            <w:r w:rsidRPr="00AC0699">
              <w:rPr>
                <w:rFonts w:hint="eastAsia"/>
                <w:sz w:val="18"/>
                <w:szCs w:val="18"/>
              </w:rPr>
              <w:t>を</w:t>
            </w:r>
            <w:r w:rsidRPr="00AC0699">
              <w:rPr>
                <w:rFonts w:hint="eastAsia"/>
                <w:sz w:val="18"/>
                <w:szCs w:val="18"/>
              </w:rPr>
              <w:t>1</w:t>
            </w:r>
            <w:r w:rsidRPr="00AC0699">
              <w:rPr>
                <w:rFonts w:hint="eastAsia"/>
                <w:sz w:val="18"/>
                <w:szCs w:val="18"/>
              </w:rPr>
              <w:t>日</w:t>
            </w:r>
            <w:r w:rsidRPr="00AC0699">
              <w:rPr>
                <w:rFonts w:hint="eastAsia"/>
                <w:sz w:val="18"/>
                <w:szCs w:val="18"/>
              </w:rPr>
              <w:t>1</w:t>
            </w:r>
            <w:r w:rsidRPr="00AC0699">
              <w:rPr>
                <w:rFonts w:hint="eastAsia"/>
                <w:sz w:val="18"/>
                <w:szCs w:val="18"/>
              </w:rPr>
              <w:t>回経口投与する。なお、症状に応じ適宜増減する。</w:t>
            </w:r>
          </w:p>
          <w:p w14:paraId="6FCDABE6" w14:textId="77777777" w:rsidR="00114E3C" w:rsidRPr="00AC0699" w:rsidRDefault="00114E3C" w:rsidP="00114E3C">
            <w:pPr>
              <w:pStyle w:val="L2b"/>
              <w:spacing w:line="200" w:lineRule="exact"/>
              <w:rPr>
                <w:rFonts w:ascii="Arial" w:eastAsia="ＭＳ ゴシック" w:hAnsi="Arial"/>
                <w:sz w:val="18"/>
                <w:szCs w:val="18"/>
              </w:rPr>
            </w:pPr>
            <w:r w:rsidRPr="00AC0699">
              <w:rPr>
                <w:rFonts w:ascii="Arial" w:eastAsia="ＭＳ ゴシック" w:hAnsi="Arial" w:hint="eastAsia"/>
                <w:sz w:val="18"/>
                <w:szCs w:val="18"/>
              </w:rPr>
              <w:t>アトルバスタチン</w:t>
            </w:r>
          </w:p>
          <w:p w14:paraId="404894CF" w14:textId="77777777" w:rsidR="00114E3C" w:rsidRPr="00AC0699" w:rsidRDefault="00114E3C" w:rsidP="00114E3C">
            <w:pPr>
              <w:pStyle w:val="L2b"/>
              <w:spacing w:line="200" w:lineRule="exact"/>
              <w:rPr>
                <w:sz w:val="18"/>
                <w:szCs w:val="18"/>
              </w:rPr>
            </w:pPr>
            <w:r w:rsidRPr="00AC0699">
              <w:rPr>
                <w:rFonts w:hint="eastAsia"/>
                <w:sz w:val="18"/>
                <w:szCs w:val="18"/>
              </w:rPr>
              <w:t>・高コレステロール血症</w:t>
            </w:r>
          </w:p>
          <w:p w14:paraId="3B81A596" w14:textId="77777777" w:rsidR="00114E3C" w:rsidRPr="00AC0699" w:rsidRDefault="00114E3C" w:rsidP="00114E3C">
            <w:pPr>
              <w:pStyle w:val="L2b"/>
              <w:spacing w:line="200" w:lineRule="exact"/>
              <w:ind w:left="482"/>
              <w:rPr>
                <w:sz w:val="18"/>
                <w:szCs w:val="18"/>
              </w:rPr>
            </w:pPr>
            <w:r w:rsidRPr="00AC0699">
              <w:rPr>
                <w:rFonts w:hint="eastAsia"/>
                <w:sz w:val="18"/>
                <w:szCs w:val="18"/>
              </w:rPr>
              <w:t>通常、成人にはアトルバスタチンとして</w:t>
            </w:r>
            <w:r w:rsidRPr="00AC0699">
              <w:rPr>
                <w:rFonts w:hint="eastAsia"/>
                <w:sz w:val="18"/>
                <w:szCs w:val="18"/>
              </w:rPr>
              <w:t>10mg</w:t>
            </w:r>
            <w:r w:rsidRPr="00AC0699">
              <w:rPr>
                <w:rFonts w:hint="eastAsia"/>
                <w:sz w:val="18"/>
                <w:szCs w:val="18"/>
              </w:rPr>
              <w:t>を</w:t>
            </w:r>
            <w:r w:rsidRPr="00AC0699">
              <w:rPr>
                <w:rFonts w:hint="eastAsia"/>
                <w:sz w:val="18"/>
                <w:szCs w:val="18"/>
              </w:rPr>
              <w:t>1</w:t>
            </w:r>
            <w:r w:rsidRPr="00AC0699">
              <w:rPr>
                <w:rFonts w:hint="eastAsia"/>
                <w:sz w:val="18"/>
                <w:szCs w:val="18"/>
              </w:rPr>
              <w:t>日</w:t>
            </w:r>
            <w:r w:rsidRPr="00AC0699">
              <w:rPr>
                <w:rFonts w:hint="eastAsia"/>
                <w:sz w:val="18"/>
                <w:szCs w:val="18"/>
              </w:rPr>
              <w:t>1</w:t>
            </w:r>
            <w:r w:rsidRPr="00AC0699">
              <w:rPr>
                <w:rFonts w:hint="eastAsia"/>
                <w:sz w:val="18"/>
                <w:szCs w:val="18"/>
              </w:rPr>
              <w:t>回経口投与する。</w:t>
            </w:r>
          </w:p>
          <w:p w14:paraId="77BA43E8" w14:textId="77777777" w:rsidR="00114E3C" w:rsidRPr="00AC0699" w:rsidRDefault="00114E3C" w:rsidP="00114E3C">
            <w:pPr>
              <w:pStyle w:val="L2b"/>
              <w:spacing w:line="200" w:lineRule="exact"/>
              <w:ind w:left="482"/>
              <w:rPr>
                <w:sz w:val="18"/>
                <w:szCs w:val="18"/>
              </w:rPr>
            </w:pPr>
            <w:r w:rsidRPr="00AC0699">
              <w:rPr>
                <w:rFonts w:hint="eastAsia"/>
                <w:sz w:val="18"/>
                <w:szCs w:val="18"/>
              </w:rPr>
              <w:t>なお、年齢、症状により適宜増減するが、重症の場合は</w:t>
            </w:r>
            <w:r w:rsidRPr="00AC0699">
              <w:rPr>
                <w:rFonts w:hint="eastAsia"/>
                <w:sz w:val="18"/>
                <w:szCs w:val="18"/>
              </w:rPr>
              <w:t>1</w:t>
            </w:r>
            <w:r w:rsidRPr="00AC0699">
              <w:rPr>
                <w:rFonts w:hint="eastAsia"/>
                <w:sz w:val="18"/>
                <w:szCs w:val="18"/>
              </w:rPr>
              <w:t>日</w:t>
            </w:r>
            <w:r w:rsidRPr="00AC0699">
              <w:rPr>
                <w:rFonts w:hint="eastAsia"/>
                <w:sz w:val="18"/>
                <w:szCs w:val="18"/>
              </w:rPr>
              <w:t>20mg</w:t>
            </w:r>
            <w:r w:rsidRPr="00AC0699">
              <w:rPr>
                <w:rFonts w:hint="eastAsia"/>
                <w:sz w:val="18"/>
                <w:szCs w:val="18"/>
              </w:rPr>
              <w:t>まで増量できる。</w:t>
            </w:r>
          </w:p>
          <w:p w14:paraId="3FCC0202" w14:textId="77777777" w:rsidR="00114E3C" w:rsidRPr="00AC0699" w:rsidRDefault="00114E3C" w:rsidP="00114E3C">
            <w:pPr>
              <w:pStyle w:val="L2b"/>
              <w:spacing w:line="200" w:lineRule="exact"/>
              <w:rPr>
                <w:sz w:val="18"/>
                <w:szCs w:val="18"/>
              </w:rPr>
            </w:pPr>
            <w:r w:rsidRPr="00AC0699">
              <w:rPr>
                <w:rFonts w:hint="eastAsia"/>
                <w:sz w:val="18"/>
                <w:szCs w:val="18"/>
              </w:rPr>
              <w:t>・家族性高コレステロール血症</w:t>
            </w:r>
          </w:p>
          <w:p w14:paraId="1075E1C5" w14:textId="77777777" w:rsidR="00114E3C" w:rsidRPr="00AC0699" w:rsidRDefault="00114E3C" w:rsidP="00114E3C">
            <w:pPr>
              <w:pStyle w:val="L2b"/>
              <w:spacing w:line="200" w:lineRule="exact"/>
              <w:ind w:left="482"/>
              <w:rPr>
                <w:sz w:val="18"/>
                <w:szCs w:val="18"/>
              </w:rPr>
            </w:pPr>
            <w:r w:rsidRPr="00AC0699">
              <w:rPr>
                <w:rFonts w:hint="eastAsia"/>
                <w:sz w:val="18"/>
                <w:szCs w:val="18"/>
              </w:rPr>
              <w:t>通常、成人にはアトルバスタチンとして</w:t>
            </w:r>
            <w:r w:rsidRPr="00AC0699">
              <w:rPr>
                <w:rFonts w:hint="eastAsia"/>
                <w:sz w:val="18"/>
                <w:szCs w:val="18"/>
              </w:rPr>
              <w:t>10mg</w:t>
            </w:r>
            <w:r w:rsidRPr="00AC0699">
              <w:rPr>
                <w:rFonts w:hint="eastAsia"/>
                <w:sz w:val="18"/>
                <w:szCs w:val="18"/>
              </w:rPr>
              <w:t>を</w:t>
            </w:r>
            <w:r w:rsidRPr="00AC0699">
              <w:rPr>
                <w:rFonts w:hint="eastAsia"/>
                <w:sz w:val="18"/>
                <w:szCs w:val="18"/>
              </w:rPr>
              <w:t>1</w:t>
            </w:r>
            <w:r w:rsidRPr="00AC0699">
              <w:rPr>
                <w:rFonts w:hint="eastAsia"/>
                <w:sz w:val="18"/>
                <w:szCs w:val="18"/>
              </w:rPr>
              <w:t>日</w:t>
            </w:r>
            <w:r w:rsidRPr="00AC0699">
              <w:rPr>
                <w:rFonts w:hint="eastAsia"/>
                <w:sz w:val="18"/>
                <w:szCs w:val="18"/>
              </w:rPr>
              <w:t>1</w:t>
            </w:r>
            <w:r w:rsidRPr="00AC0699">
              <w:rPr>
                <w:rFonts w:hint="eastAsia"/>
                <w:sz w:val="18"/>
                <w:szCs w:val="18"/>
              </w:rPr>
              <w:t>回経口投与する。</w:t>
            </w:r>
          </w:p>
          <w:p w14:paraId="1562EA48" w14:textId="77777777" w:rsidR="00114E3C" w:rsidRPr="00147019" w:rsidRDefault="00114E3C" w:rsidP="00114E3C">
            <w:pPr>
              <w:pStyle w:val="L2b"/>
              <w:spacing w:line="200" w:lineRule="exact"/>
              <w:ind w:left="482"/>
              <w:rPr>
                <w:sz w:val="16"/>
                <w:szCs w:val="16"/>
              </w:rPr>
            </w:pPr>
            <w:r w:rsidRPr="00AC0699">
              <w:rPr>
                <w:rFonts w:hint="eastAsia"/>
                <w:sz w:val="18"/>
                <w:szCs w:val="18"/>
              </w:rPr>
              <w:t>なお、年齢、症状により適宜増減するが、重症の場合は</w:t>
            </w:r>
            <w:r w:rsidRPr="00AC0699">
              <w:rPr>
                <w:rFonts w:hint="eastAsia"/>
                <w:sz w:val="18"/>
                <w:szCs w:val="18"/>
              </w:rPr>
              <w:t>1</w:t>
            </w:r>
            <w:r w:rsidRPr="00AC0699">
              <w:rPr>
                <w:rFonts w:hint="eastAsia"/>
                <w:sz w:val="18"/>
                <w:szCs w:val="18"/>
              </w:rPr>
              <w:t>日</w:t>
            </w:r>
            <w:r w:rsidRPr="00AC0699">
              <w:rPr>
                <w:rFonts w:hint="eastAsia"/>
                <w:sz w:val="18"/>
                <w:szCs w:val="18"/>
              </w:rPr>
              <w:t>40mg</w:t>
            </w:r>
            <w:r w:rsidRPr="00AC0699">
              <w:rPr>
                <w:rFonts w:hint="eastAsia"/>
                <w:sz w:val="18"/>
                <w:szCs w:val="18"/>
              </w:rPr>
              <w:t>まで増量できる。</w:t>
            </w:r>
          </w:p>
        </w:tc>
      </w:tr>
      <w:tr w:rsidR="00114E3C" w14:paraId="09237BC5" w14:textId="77777777" w:rsidTr="00C00428">
        <w:trPr>
          <w:trHeight w:hRule="exact" w:val="1786"/>
        </w:trPr>
        <w:tc>
          <w:tcPr>
            <w:tcW w:w="1563" w:type="dxa"/>
            <w:tcBorders>
              <w:bottom w:val="single" w:sz="4" w:space="0" w:color="auto"/>
            </w:tcBorders>
            <w:vAlign w:val="center"/>
          </w:tcPr>
          <w:p w14:paraId="5833E9AD" w14:textId="77777777" w:rsidR="00114E3C" w:rsidRPr="00075F31" w:rsidRDefault="00114E3C" w:rsidP="00114E3C">
            <w:pPr>
              <w:jc w:val="distribute"/>
              <w:rPr>
                <w:rFonts w:ascii="Arial" w:eastAsia="ＭＳ ゴシック" w:hAnsi="Arial"/>
              </w:rPr>
            </w:pPr>
            <w:r w:rsidRPr="00075F31">
              <w:rPr>
                <w:rFonts w:ascii="Arial" w:eastAsia="ＭＳ ゴシック" w:hAnsi="ＭＳ ゴシック" w:hint="eastAsia"/>
              </w:rPr>
              <w:t>製品の性状</w:t>
            </w:r>
          </w:p>
        </w:tc>
        <w:tc>
          <w:tcPr>
            <w:tcW w:w="4285" w:type="dxa"/>
            <w:gridSpan w:val="2"/>
            <w:tcBorders>
              <w:bottom w:val="single" w:sz="4" w:space="0" w:color="auto"/>
            </w:tcBorders>
          </w:tcPr>
          <w:p w14:paraId="5A9871FB" w14:textId="77777777" w:rsidR="00114E3C" w:rsidRPr="006C1C24" w:rsidRDefault="00114E3C" w:rsidP="00114E3C">
            <w:pPr>
              <w:spacing w:line="240" w:lineRule="exact"/>
              <w:rPr>
                <w:sz w:val="18"/>
                <w:szCs w:val="18"/>
              </w:rPr>
            </w:pPr>
            <w:r w:rsidRPr="006C1C24">
              <w:rPr>
                <w:rFonts w:hint="eastAsia"/>
                <w:sz w:val="18"/>
                <w:szCs w:val="18"/>
              </w:rPr>
              <w:t>うすい黄色のフィルムコーティング錠</w:t>
            </w:r>
          </w:p>
          <w:tbl>
            <w:tblPr>
              <w:tblW w:w="4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07"/>
              <w:gridCol w:w="112"/>
              <w:gridCol w:w="896"/>
              <w:gridCol w:w="1008"/>
              <w:gridCol w:w="1108"/>
            </w:tblGrid>
            <w:tr w:rsidR="009355C7" w:rsidRPr="00147019" w14:paraId="7AD11061" w14:textId="77777777" w:rsidTr="004B0816">
              <w:trPr>
                <w:trHeight w:val="1228"/>
              </w:trPr>
              <w:tc>
                <w:tcPr>
                  <w:tcW w:w="1007" w:type="dxa"/>
                  <w:tcBorders>
                    <w:right w:val="single" w:sz="4" w:space="0" w:color="FFFFFF"/>
                  </w:tcBorders>
                  <w:shd w:val="clear" w:color="auto" w:fill="auto"/>
                  <w:vAlign w:val="center"/>
                </w:tcPr>
                <w:p w14:paraId="255985BF" w14:textId="77777777" w:rsidR="009355C7" w:rsidRPr="00147019" w:rsidRDefault="003714DA" w:rsidP="009355C7">
                  <w:pPr>
                    <w:jc w:val="center"/>
                    <w:rPr>
                      <w:rFonts w:ascii="ＭＳ ゴシック" w:eastAsia="ＭＳ ゴシック" w:hAnsi="ＭＳ ゴシック"/>
                      <w:sz w:val="16"/>
                      <w:szCs w:val="16"/>
                    </w:rPr>
                  </w:pPr>
                  <w:r>
                    <w:rPr>
                      <w:noProof/>
                      <w:sz w:val="16"/>
                      <w:szCs w:val="16"/>
                    </w:rPr>
                    <w:drawing>
                      <wp:inline distT="0" distB="0" distL="0" distR="0" wp14:anchorId="0F12FFC6" wp14:editId="66EB19B5">
                        <wp:extent cx="609600" cy="609600"/>
                        <wp:effectExtent l="0" t="0" r="0" b="0"/>
                        <wp:docPr id="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008" w:type="dxa"/>
                  <w:gridSpan w:val="2"/>
                  <w:tcBorders>
                    <w:left w:val="single" w:sz="4" w:space="0" w:color="FFFFFF"/>
                    <w:right w:val="single" w:sz="4" w:space="0" w:color="FFFFFF"/>
                  </w:tcBorders>
                  <w:shd w:val="clear" w:color="auto" w:fill="auto"/>
                  <w:vAlign w:val="center"/>
                </w:tcPr>
                <w:p w14:paraId="766CC8E0" w14:textId="77777777" w:rsidR="009355C7" w:rsidRPr="00147019" w:rsidRDefault="003714DA" w:rsidP="009355C7">
                  <w:pPr>
                    <w:jc w:val="center"/>
                    <w:rPr>
                      <w:rFonts w:ascii="ＭＳ ゴシック" w:eastAsia="ＭＳ ゴシック" w:hAnsi="ＭＳ ゴシック"/>
                      <w:sz w:val="16"/>
                      <w:szCs w:val="16"/>
                    </w:rPr>
                  </w:pPr>
                  <w:r>
                    <w:rPr>
                      <w:noProof/>
                      <w:sz w:val="16"/>
                      <w:szCs w:val="16"/>
                    </w:rPr>
                    <w:drawing>
                      <wp:inline distT="0" distB="0" distL="0" distR="0" wp14:anchorId="6446193B" wp14:editId="7042DC86">
                        <wp:extent cx="609600" cy="609600"/>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008" w:type="dxa"/>
                  <w:tcBorders>
                    <w:left w:val="single" w:sz="4" w:space="0" w:color="FFFFFF"/>
                  </w:tcBorders>
                  <w:shd w:val="clear" w:color="auto" w:fill="auto"/>
                  <w:vAlign w:val="center"/>
                </w:tcPr>
                <w:p w14:paraId="46632712" w14:textId="77777777" w:rsidR="009355C7" w:rsidRPr="00147019" w:rsidRDefault="003714DA" w:rsidP="009355C7">
                  <w:pPr>
                    <w:jc w:val="center"/>
                    <w:rPr>
                      <w:rFonts w:ascii="ＭＳ ゴシック" w:eastAsia="ＭＳ ゴシック" w:hAnsi="ＭＳ ゴシック"/>
                      <w:sz w:val="16"/>
                      <w:szCs w:val="16"/>
                    </w:rPr>
                  </w:pPr>
                  <w:r>
                    <w:rPr>
                      <w:noProof/>
                      <w:sz w:val="16"/>
                      <w:szCs w:val="16"/>
                    </w:rPr>
                    <w:drawing>
                      <wp:inline distT="0" distB="0" distL="0" distR="0" wp14:anchorId="5012F6B1" wp14:editId="028EC171">
                        <wp:extent cx="600075" cy="2571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0075" cy="257175"/>
                                </a:xfrm>
                                <a:prstGeom prst="rect">
                                  <a:avLst/>
                                </a:prstGeom>
                                <a:noFill/>
                                <a:ln>
                                  <a:noFill/>
                                </a:ln>
                              </pic:spPr>
                            </pic:pic>
                          </a:graphicData>
                        </a:graphic>
                      </wp:inline>
                    </w:drawing>
                  </w:r>
                </w:p>
              </w:tc>
              <w:tc>
                <w:tcPr>
                  <w:tcW w:w="1108" w:type="dxa"/>
                  <w:tcBorders>
                    <w:top w:val="single" w:sz="4" w:space="0" w:color="FFFFFF"/>
                    <w:bottom w:val="single" w:sz="4" w:space="0" w:color="FFFFFF"/>
                    <w:right w:val="single" w:sz="4" w:space="0" w:color="FFFFFF"/>
                  </w:tcBorders>
                  <w:shd w:val="clear" w:color="auto" w:fill="auto"/>
                  <w:tcMar>
                    <w:left w:w="57" w:type="dxa"/>
                    <w:right w:w="0" w:type="dxa"/>
                  </w:tcMar>
                </w:tcPr>
                <w:p w14:paraId="64DEB461" w14:textId="77777777" w:rsidR="009355C7" w:rsidRPr="00AC0699" w:rsidRDefault="009355C7" w:rsidP="00114E3C">
                  <w:pPr>
                    <w:jc w:val="both"/>
                    <w:rPr>
                      <w:sz w:val="18"/>
                      <w:szCs w:val="18"/>
                    </w:rPr>
                  </w:pPr>
                  <w:r w:rsidRPr="00AC0699">
                    <w:rPr>
                      <w:rFonts w:hint="eastAsia"/>
                      <w:sz w:val="18"/>
                      <w:szCs w:val="18"/>
                    </w:rPr>
                    <w:t>直径：</w:t>
                  </w:r>
                  <w:r w:rsidRPr="00AC0699">
                    <w:rPr>
                      <w:rFonts w:hint="eastAsia"/>
                      <w:sz w:val="18"/>
                      <w:szCs w:val="18"/>
                    </w:rPr>
                    <w:t>6.6mm</w:t>
                  </w:r>
                </w:p>
                <w:p w14:paraId="4EBADB15" w14:textId="77777777" w:rsidR="009355C7" w:rsidRPr="00AC0699" w:rsidRDefault="009355C7" w:rsidP="00114E3C">
                  <w:pPr>
                    <w:jc w:val="both"/>
                    <w:rPr>
                      <w:sz w:val="18"/>
                      <w:szCs w:val="18"/>
                    </w:rPr>
                  </w:pPr>
                  <w:r w:rsidRPr="00AC0699">
                    <w:rPr>
                      <w:rFonts w:hint="eastAsia"/>
                      <w:sz w:val="18"/>
                      <w:szCs w:val="18"/>
                    </w:rPr>
                    <w:t>厚さ：</w:t>
                  </w:r>
                  <w:r w:rsidRPr="00AC0699">
                    <w:rPr>
                      <w:rFonts w:hint="eastAsia"/>
                      <w:sz w:val="18"/>
                      <w:szCs w:val="18"/>
                    </w:rPr>
                    <w:t>2.7mm</w:t>
                  </w:r>
                </w:p>
                <w:p w14:paraId="71739968" w14:textId="77777777" w:rsidR="009355C7" w:rsidRPr="00147019" w:rsidRDefault="009355C7" w:rsidP="00114E3C">
                  <w:pPr>
                    <w:jc w:val="both"/>
                    <w:rPr>
                      <w:sz w:val="16"/>
                      <w:szCs w:val="16"/>
                    </w:rPr>
                  </w:pPr>
                  <w:r w:rsidRPr="00AC0699">
                    <w:rPr>
                      <w:rFonts w:hint="eastAsia"/>
                      <w:sz w:val="18"/>
                      <w:szCs w:val="18"/>
                    </w:rPr>
                    <w:t>重</w:t>
                  </w:r>
                  <w:r>
                    <w:rPr>
                      <w:rFonts w:hint="eastAsia"/>
                      <w:sz w:val="18"/>
                      <w:szCs w:val="18"/>
                    </w:rPr>
                    <w:t>さ</w:t>
                  </w:r>
                  <w:r w:rsidRPr="00AC0699">
                    <w:rPr>
                      <w:rFonts w:hint="eastAsia"/>
                      <w:sz w:val="18"/>
                      <w:szCs w:val="18"/>
                    </w:rPr>
                    <w:t>：</w:t>
                  </w:r>
                  <w:r w:rsidRPr="00AC0699">
                    <w:rPr>
                      <w:rFonts w:hint="eastAsia"/>
                      <w:sz w:val="18"/>
                      <w:szCs w:val="18"/>
                    </w:rPr>
                    <w:t>103mg</w:t>
                  </w:r>
                </w:p>
              </w:tc>
            </w:tr>
            <w:tr w:rsidR="00114E3C" w:rsidRPr="00147019" w14:paraId="50BB9A69" w14:textId="77777777" w:rsidTr="004B0816">
              <w:trPr>
                <w:trHeight w:hRule="exact" w:val="283"/>
              </w:trPr>
              <w:tc>
                <w:tcPr>
                  <w:tcW w:w="1119" w:type="dxa"/>
                  <w:gridSpan w:val="2"/>
                  <w:tcBorders>
                    <w:top w:val="single" w:sz="4" w:space="0" w:color="FFFFFF"/>
                    <w:left w:val="single" w:sz="4" w:space="0" w:color="FFFFFF"/>
                    <w:bottom w:val="single" w:sz="4" w:space="0" w:color="FFFFFF"/>
                    <w:right w:val="single" w:sz="4" w:space="0" w:color="FFFFFF"/>
                  </w:tcBorders>
                  <w:shd w:val="clear" w:color="auto" w:fill="auto"/>
                  <w:tcMar>
                    <w:left w:w="20" w:type="dxa"/>
                    <w:right w:w="0" w:type="dxa"/>
                  </w:tcMar>
                  <w:vAlign w:val="center"/>
                </w:tcPr>
                <w:p w14:paraId="416E6521" w14:textId="77777777" w:rsidR="00114E3C" w:rsidRPr="00AC0699" w:rsidRDefault="00114E3C" w:rsidP="00114E3C">
                  <w:pPr>
                    <w:spacing w:before="40"/>
                    <w:ind w:leftChars="-1" w:left="-2" w:rightChars="-109" w:right="-209"/>
                    <w:rPr>
                      <w:sz w:val="18"/>
                      <w:szCs w:val="18"/>
                    </w:rPr>
                  </w:pPr>
                  <w:r w:rsidRPr="00AC0699">
                    <w:rPr>
                      <w:rFonts w:hint="eastAsia"/>
                      <w:sz w:val="18"/>
                      <w:szCs w:val="18"/>
                    </w:rPr>
                    <w:t>識別コード：</w:t>
                  </w:r>
                </w:p>
              </w:tc>
              <w:tc>
                <w:tcPr>
                  <w:tcW w:w="3012" w:type="dxa"/>
                  <w:gridSpan w:val="3"/>
                  <w:tcBorders>
                    <w:top w:val="single" w:sz="4" w:space="0" w:color="FFFFFF"/>
                    <w:left w:val="single" w:sz="4" w:space="0" w:color="FFFFFF"/>
                    <w:bottom w:val="single" w:sz="4" w:space="0" w:color="FFFFFF"/>
                    <w:right w:val="single" w:sz="4" w:space="0" w:color="FFFFFF"/>
                  </w:tcBorders>
                  <w:shd w:val="clear" w:color="auto" w:fill="auto"/>
                  <w:tcMar>
                    <w:left w:w="0" w:type="dxa"/>
                  </w:tcMar>
                  <w:vAlign w:val="center"/>
                </w:tcPr>
                <w:p w14:paraId="432A819F" w14:textId="77777777" w:rsidR="00114E3C" w:rsidRPr="00AC0699" w:rsidRDefault="00114E3C" w:rsidP="00114E3C">
                  <w:pPr>
                    <w:spacing w:before="40"/>
                    <w:rPr>
                      <w:sz w:val="18"/>
                      <w:szCs w:val="18"/>
                    </w:rPr>
                  </w:pPr>
                  <w:r w:rsidRPr="00AC0699">
                    <w:rPr>
                      <w:rFonts w:hint="eastAsia"/>
                      <w:sz w:val="18"/>
                      <w:szCs w:val="18"/>
                    </w:rPr>
                    <w:t xml:space="preserve">アマルエット　</w:t>
                  </w:r>
                  <w:r w:rsidRPr="00AC0699">
                    <w:rPr>
                      <w:rFonts w:hint="eastAsia"/>
                      <w:sz w:val="18"/>
                      <w:szCs w:val="18"/>
                    </w:rPr>
                    <w:t>1</w:t>
                  </w:r>
                  <w:r w:rsidRPr="00AC0699">
                    <w:rPr>
                      <w:rFonts w:hint="eastAsia"/>
                      <w:sz w:val="18"/>
                      <w:szCs w:val="18"/>
                    </w:rPr>
                    <w:t xml:space="preserve">　</w:t>
                  </w:r>
                  <w:r w:rsidRPr="00AC0699">
                    <w:rPr>
                      <w:rFonts w:hint="eastAsia"/>
                      <w:sz w:val="18"/>
                      <w:szCs w:val="18"/>
                    </w:rPr>
                    <w:t>DSEP</w:t>
                  </w:r>
                </w:p>
              </w:tc>
            </w:tr>
          </w:tbl>
          <w:p w14:paraId="481F8C54" w14:textId="77777777" w:rsidR="00114E3C" w:rsidRPr="00147019" w:rsidRDefault="00114E3C" w:rsidP="00114E3C">
            <w:pPr>
              <w:rPr>
                <w:rFonts w:ascii="ＭＳ 明朝" w:hAnsi="ＭＳ 明朝"/>
                <w:sz w:val="16"/>
                <w:szCs w:val="16"/>
              </w:rPr>
            </w:pPr>
          </w:p>
        </w:tc>
        <w:tc>
          <w:tcPr>
            <w:tcW w:w="4286" w:type="dxa"/>
            <w:tcBorders>
              <w:bottom w:val="single" w:sz="4" w:space="0" w:color="auto"/>
            </w:tcBorders>
          </w:tcPr>
          <w:p w14:paraId="7D5758B7" w14:textId="77777777" w:rsidR="00114E3C" w:rsidRPr="006C1C24" w:rsidRDefault="00114E3C" w:rsidP="00114E3C">
            <w:pPr>
              <w:spacing w:line="240" w:lineRule="exact"/>
              <w:rPr>
                <w:sz w:val="18"/>
                <w:szCs w:val="18"/>
              </w:rPr>
            </w:pPr>
            <w:r w:rsidRPr="006C1C24">
              <w:rPr>
                <w:rFonts w:hint="eastAsia"/>
                <w:sz w:val="18"/>
                <w:szCs w:val="18"/>
              </w:rPr>
              <w:t>白色のフィルムコーティング錠（三角形）</w:t>
            </w:r>
          </w:p>
          <w:p w14:paraId="1AF35B65" w14:textId="77777777" w:rsidR="00114E3C" w:rsidRPr="00AC0699" w:rsidRDefault="00114E3C" w:rsidP="00114E3C">
            <w:pPr>
              <w:rPr>
                <w:sz w:val="18"/>
                <w:szCs w:val="18"/>
              </w:rPr>
            </w:pPr>
            <w:r w:rsidRPr="00AC0699">
              <w:rPr>
                <w:rFonts w:hint="eastAsia"/>
                <w:sz w:val="18"/>
                <w:szCs w:val="18"/>
              </w:rPr>
              <w:t>横　：</w:t>
            </w:r>
            <w:r w:rsidRPr="00AC0699">
              <w:rPr>
                <w:rFonts w:hint="eastAsia"/>
                <w:sz w:val="18"/>
                <w:szCs w:val="18"/>
              </w:rPr>
              <w:t>6.8mm</w:t>
            </w:r>
            <w:r w:rsidRPr="00AC0699">
              <w:rPr>
                <w:rFonts w:hint="eastAsia"/>
                <w:sz w:val="18"/>
                <w:szCs w:val="18"/>
              </w:rPr>
              <w:t xml:space="preserve">　</w:t>
            </w:r>
          </w:p>
          <w:p w14:paraId="0505EF5C" w14:textId="77777777" w:rsidR="00114E3C" w:rsidRPr="00147019" w:rsidRDefault="00114E3C" w:rsidP="00114E3C">
            <w:pPr>
              <w:rPr>
                <w:sz w:val="16"/>
                <w:szCs w:val="16"/>
              </w:rPr>
            </w:pPr>
            <w:r w:rsidRPr="00AC0699">
              <w:rPr>
                <w:rFonts w:hint="eastAsia"/>
                <w:sz w:val="18"/>
                <w:szCs w:val="18"/>
              </w:rPr>
              <w:t>縦　：</w:t>
            </w:r>
            <w:r w:rsidRPr="00AC0699">
              <w:rPr>
                <w:rFonts w:hint="eastAsia"/>
                <w:sz w:val="18"/>
                <w:szCs w:val="18"/>
              </w:rPr>
              <w:t>6.5mm</w:t>
            </w:r>
            <w:r w:rsidRPr="00AC0699">
              <w:rPr>
                <w:sz w:val="18"/>
                <w:szCs w:val="18"/>
              </w:rPr>
              <w:br/>
            </w:r>
            <w:r w:rsidRPr="00AC0699">
              <w:rPr>
                <w:rFonts w:hint="eastAsia"/>
                <w:sz w:val="18"/>
                <w:szCs w:val="18"/>
              </w:rPr>
              <w:t>厚さ：</w:t>
            </w:r>
            <w:r w:rsidRPr="00AC0699">
              <w:rPr>
                <w:rFonts w:hint="eastAsia"/>
                <w:sz w:val="18"/>
                <w:szCs w:val="18"/>
              </w:rPr>
              <w:t>2.8mm</w:t>
            </w:r>
            <w:r w:rsidRPr="00AC0699">
              <w:rPr>
                <w:rFonts w:hint="eastAsia"/>
                <w:sz w:val="18"/>
                <w:szCs w:val="18"/>
              </w:rPr>
              <w:t xml:space="preserve">　</w:t>
            </w:r>
            <w:r w:rsidRPr="00AC0699">
              <w:rPr>
                <w:sz w:val="18"/>
                <w:szCs w:val="18"/>
              </w:rPr>
              <w:br/>
            </w:r>
            <w:r w:rsidRPr="00AC0699">
              <w:rPr>
                <w:rFonts w:hint="eastAsia"/>
                <w:sz w:val="18"/>
                <w:szCs w:val="18"/>
              </w:rPr>
              <w:t>重量：</w:t>
            </w:r>
            <w:r w:rsidRPr="00AC0699">
              <w:rPr>
                <w:rFonts w:hint="eastAsia"/>
                <w:sz w:val="18"/>
                <w:szCs w:val="18"/>
              </w:rPr>
              <w:t>103mg</w:t>
            </w:r>
            <w:r w:rsidRPr="00AC0699">
              <w:rPr>
                <w:rFonts w:hint="eastAsia"/>
                <w:sz w:val="18"/>
                <w:szCs w:val="18"/>
              </w:rPr>
              <w:t xml:space="preserve">　</w:t>
            </w:r>
            <w:r w:rsidRPr="00147019">
              <w:rPr>
                <w:sz w:val="16"/>
                <w:szCs w:val="16"/>
              </w:rPr>
              <w:br/>
            </w:r>
          </w:p>
          <w:p w14:paraId="4FBC62B4" w14:textId="77777777" w:rsidR="00114E3C" w:rsidRPr="00147019" w:rsidRDefault="00114E3C" w:rsidP="00114E3C">
            <w:pPr>
              <w:rPr>
                <w:rFonts w:ascii="ＭＳ 明朝" w:hAnsi="ＭＳ 明朝"/>
                <w:sz w:val="16"/>
                <w:szCs w:val="16"/>
              </w:rPr>
            </w:pPr>
          </w:p>
        </w:tc>
      </w:tr>
      <w:tr w:rsidR="00114E3C" w14:paraId="21407E16" w14:textId="77777777" w:rsidTr="0058665E">
        <w:trPr>
          <w:trHeight w:val="2593"/>
        </w:trPr>
        <w:tc>
          <w:tcPr>
            <w:tcW w:w="1563" w:type="dxa"/>
            <w:vMerge w:val="restart"/>
            <w:vAlign w:val="center"/>
          </w:tcPr>
          <w:p w14:paraId="314FE904" w14:textId="77777777" w:rsidR="00114E3C" w:rsidRPr="00075F31" w:rsidRDefault="00114E3C" w:rsidP="00114E3C">
            <w:pPr>
              <w:jc w:val="distribute"/>
              <w:rPr>
                <w:rFonts w:ascii="Arial" w:eastAsia="ＭＳ ゴシック" w:hAnsi="Arial"/>
              </w:rPr>
            </w:pPr>
            <w:r w:rsidRPr="00075F31">
              <w:rPr>
                <w:rFonts w:ascii="Arial" w:eastAsia="ＭＳ ゴシック" w:hAnsi="ＭＳ ゴシック" w:hint="eastAsia"/>
              </w:rPr>
              <w:t>先発品との</w:t>
            </w:r>
          </w:p>
          <w:p w14:paraId="61AB1DFC" w14:textId="77777777" w:rsidR="00114E3C" w:rsidRPr="00075F31" w:rsidRDefault="00114E3C" w:rsidP="00114E3C">
            <w:pPr>
              <w:jc w:val="distribute"/>
              <w:rPr>
                <w:rFonts w:ascii="Arial" w:eastAsia="ＭＳ ゴシック" w:hAnsi="Arial"/>
                <w:sz w:val="22"/>
              </w:rPr>
            </w:pPr>
            <w:r w:rsidRPr="00075F31">
              <w:rPr>
                <w:rFonts w:ascii="Arial" w:eastAsia="ＭＳ ゴシック" w:hAnsi="ＭＳ ゴシック" w:hint="eastAsia"/>
              </w:rPr>
              <w:t>同等性</w:t>
            </w:r>
          </w:p>
        </w:tc>
        <w:tc>
          <w:tcPr>
            <w:tcW w:w="4285" w:type="dxa"/>
            <w:gridSpan w:val="2"/>
            <w:tcBorders>
              <w:bottom w:val="nil"/>
              <w:right w:val="single" w:sz="4" w:space="0" w:color="auto"/>
            </w:tcBorders>
          </w:tcPr>
          <w:p w14:paraId="7CAA3D16" w14:textId="77777777" w:rsidR="00114E3C" w:rsidRPr="00AC0699" w:rsidRDefault="00114E3C" w:rsidP="00114E3C">
            <w:pPr>
              <w:spacing w:line="240" w:lineRule="exact"/>
              <w:ind w:leftChars="-6" w:left="-6" w:rightChars="-60" w:right="-115" w:hangingChars="3" w:hanging="5"/>
              <w:rPr>
                <w:rFonts w:ascii="Arial" w:eastAsia="ＭＳ ゴシック" w:hAnsi="Arial"/>
                <w:sz w:val="18"/>
                <w:szCs w:val="18"/>
              </w:rPr>
            </w:pPr>
            <w:r w:rsidRPr="00AC0699">
              <w:rPr>
                <w:rFonts w:ascii="Arial" w:eastAsia="ＭＳ ゴシック" w:hAnsi="Arial" w:hint="eastAsia"/>
                <w:sz w:val="18"/>
                <w:szCs w:val="18"/>
              </w:rPr>
              <w:t>溶出試験（試験液：</w:t>
            </w:r>
            <w:r w:rsidRPr="00AC0699">
              <w:rPr>
                <w:rFonts w:ascii="Arial" w:eastAsia="ＭＳ ゴシック" w:hAnsi="Arial" w:hint="eastAsia"/>
                <w:sz w:val="18"/>
                <w:szCs w:val="18"/>
              </w:rPr>
              <w:t>pH1.2</w:t>
            </w:r>
            <w:r w:rsidRPr="00AC0699">
              <w:rPr>
                <w:rFonts w:ascii="Arial" w:eastAsia="ＭＳ ゴシック" w:hAnsi="Arial" w:hint="eastAsia"/>
                <w:sz w:val="18"/>
                <w:szCs w:val="18"/>
              </w:rPr>
              <w:t xml:space="preserve">　</w:t>
            </w:r>
            <w:r w:rsidRPr="00AC0699">
              <w:rPr>
                <w:rFonts w:ascii="Arial" w:eastAsia="ＭＳ ゴシック" w:hAnsi="Arial" w:hint="eastAsia"/>
                <w:sz w:val="18"/>
                <w:szCs w:val="18"/>
              </w:rPr>
              <w:t>50rpm</w:t>
            </w:r>
            <w:r w:rsidRPr="00AC0699">
              <w:rPr>
                <w:rFonts w:ascii="Arial" w:eastAsia="ＭＳ ゴシック" w:hAnsi="Arial" w:hint="eastAsia"/>
                <w:sz w:val="18"/>
                <w:szCs w:val="18"/>
              </w:rPr>
              <w:t>）</w:t>
            </w:r>
          </w:p>
          <w:p w14:paraId="29F66E74" w14:textId="77777777" w:rsidR="00114E3C" w:rsidRPr="00AC0699" w:rsidRDefault="00114E3C" w:rsidP="00114E3C">
            <w:pPr>
              <w:ind w:leftChars="-6" w:left="-6" w:rightChars="-60" w:right="-115" w:hangingChars="3" w:hanging="5"/>
              <w:rPr>
                <w:rFonts w:ascii="Arial" w:eastAsia="ＭＳ ゴシック" w:hAnsi="Arial"/>
                <w:sz w:val="18"/>
                <w:szCs w:val="18"/>
              </w:rPr>
            </w:pPr>
            <w:r w:rsidRPr="00AC0699">
              <w:rPr>
                <w:rFonts w:ascii="Arial" w:eastAsia="ＭＳ ゴシック" w:hAnsi="Arial" w:hint="eastAsia"/>
                <w:sz w:val="18"/>
                <w:szCs w:val="18"/>
              </w:rPr>
              <w:t>アムロジピン</w:t>
            </w:r>
          </w:p>
          <w:p w14:paraId="6DF81C8C" w14:textId="77777777" w:rsidR="00114E3C" w:rsidRPr="00147019" w:rsidRDefault="003714DA" w:rsidP="00114E3C">
            <w:pPr>
              <w:ind w:leftChars="-34" w:hangingChars="34" w:hanging="65"/>
              <w:rPr>
                <w:rFonts w:ascii="ＭＳ ゴシック" w:eastAsia="ＭＳ ゴシック" w:hAnsi="ＭＳ ゴシック"/>
                <w:sz w:val="16"/>
                <w:szCs w:val="16"/>
              </w:rPr>
            </w:pPr>
            <w:r>
              <w:rPr>
                <w:noProof/>
              </w:rPr>
              <w:drawing>
                <wp:inline distT="0" distB="0" distL="0" distR="0" wp14:anchorId="399FB70F" wp14:editId="3F3E9E55">
                  <wp:extent cx="2628900" cy="169545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1695450"/>
                          </a:xfrm>
                          <a:prstGeom prst="rect">
                            <a:avLst/>
                          </a:prstGeom>
                          <a:noFill/>
                          <a:ln>
                            <a:noFill/>
                          </a:ln>
                        </pic:spPr>
                      </pic:pic>
                    </a:graphicData>
                  </a:graphic>
                </wp:inline>
              </w:drawing>
            </w:r>
          </w:p>
        </w:tc>
        <w:tc>
          <w:tcPr>
            <w:tcW w:w="4286" w:type="dxa"/>
            <w:tcBorders>
              <w:left w:val="single" w:sz="4" w:space="0" w:color="auto"/>
              <w:bottom w:val="nil"/>
            </w:tcBorders>
          </w:tcPr>
          <w:p w14:paraId="626C20D7" w14:textId="77777777" w:rsidR="00114E3C" w:rsidRPr="00AC0699" w:rsidRDefault="00114E3C" w:rsidP="00114E3C">
            <w:pPr>
              <w:spacing w:line="240" w:lineRule="exact"/>
              <w:ind w:leftChars="-6" w:left="-6" w:rightChars="-60" w:right="-115" w:hangingChars="3" w:hanging="5"/>
              <w:rPr>
                <w:rFonts w:ascii="Arial" w:eastAsia="ＭＳ ゴシック" w:hAnsi="Arial"/>
                <w:sz w:val="18"/>
                <w:szCs w:val="18"/>
              </w:rPr>
            </w:pPr>
            <w:r w:rsidRPr="00AC0699">
              <w:rPr>
                <w:rFonts w:ascii="Arial" w:eastAsia="ＭＳ ゴシック" w:hAnsi="Arial" w:hint="eastAsia"/>
                <w:sz w:val="18"/>
                <w:szCs w:val="18"/>
              </w:rPr>
              <w:t>溶出試験（試験液：</w:t>
            </w:r>
            <w:r w:rsidRPr="00AC0699">
              <w:rPr>
                <w:rFonts w:ascii="Arial" w:eastAsia="ＭＳ ゴシック" w:hAnsi="Arial" w:hint="eastAsia"/>
                <w:sz w:val="18"/>
                <w:szCs w:val="18"/>
              </w:rPr>
              <w:t>pH6.8</w:t>
            </w:r>
            <w:r w:rsidRPr="00AC0699">
              <w:rPr>
                <w:rFonts w:ascii="Arial" w:eastAsia="ＭＳ ゴシック" w:hAnsi="Arial" w:hint="eastAsia"/>
                <w:sz w:val="18"/>
                <w:szCs w:val="18"/>
              </w:rPr>
              <w:t xml:space="preserve">　</w:t>
            </w:r>
            <w:r w:rsidRPr="00AC0699">
              <w:rPr>
                <w:rFonts w:ascii="Arial" w:eastAsia="ＭＳ ゴシック" w:hAnsi="Arial" w:hint="eastAsia"/>
                <w:sz w:val="18"/>
                <w:szCs w:val="18"/>
              </w:rPr>
              <w:t>100rpm</w:t>
            </w:r>
            <w:r w:rsidRPr="00AC0699">
              <w:rPr>
                <w:rFonts w:ascii="Arial" w:eastAsia="ＭＳ ゴシック" w:hAnsi="Arial" w:hint="eastAsia"/>
                <w:sz w:val="18"/>
                <w:szCs w:val="18"/>
              </w:rPr>
              <w:t>）</w:t>
            </w:r>
          </w:p>
          <w:p w14:paraId="6934CD37" w14:textId="77777777" w:rsidR="00114E3C" w:rsidRPr="00AC0699" w:rsidRDefault="00114E3C" w:rsidP="00114E3C">
            <w:pPr>
              <w:ind w:leftChars="-6" w:left="-6" w:rightChars="-60" w:right="-115" w:hangingChars="3" w:hanging="5"/>
              <w:rPr>
                <w:rFonts w:ascii="Arial" w:eastAsia="ＭＳ ゴシック" w:hAnsi="Arial"/>
                <w:sz w:val="18"/>
                <w:szCs w:val="18"/>
              </w:rPr>
            </w:pPr>
            <w:r w:rsidRPr="00AC0699">
              <w:rPr>
                <w:rFonts w:ascii="Arial" w:eastAsia="ＭＳ ゴシック" w:hAnsi="Arial" w:hint="eastAsia"/>
                <w:sz w:val="18"/>
                <w:szCs w:val="18"/>
              </w:rPr>
              <w:t>アトルバスタチン</w:t>
            </w:r>
          </w:p>
          <w:p w14:paraId="29B1B383" w14:textId="77777777" w:rsidR="00114E3C" w:rsidRPr="00147019" w:rsidRDefault="003714DA" w:rsidP="00114E3C">
            <w:pPr>
              <w:ind w:firstLine="43"/>
              <w:rPr>
                <w:rFonts w:ascii="ＭＳ ゴシック" w:eastAsia="ＭＳ ゴシック" w:hAnsi="ＭＳ ゴシック"/>
                <w:sz w:val="16"/>
                <w:szCs w:val="16"/>
              </w:rPr>
            </w:pPr>
            <w:r>
              <w:rPr>
                <w:noProof/>
              </w:rPr>
              <w:drawing>
                <wp:inline distT="0" distB="0" distL="0" distR="0" wp14:anchorId="604CF23A" wp14:editId="02F582A0">
                  <wp:extent cx="2628900" cy="1724025"/>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8900" cy="1724025"/>
                          </a:xfrm>
                          <a:prstGeom prst="rect">
                            <a:avLst/>
                          </a:prstGeom>
                          <a:noFill/>
                          <a:ln>
                            <a:noFill/>
                          </a:ln>
                        </pic:spPr>
                      </pic:pic>
                    </a:graphicData>
                  </a:graphic>
                </wp:inline>
              </w:drawing>
            </w:r>
          </w:p>
        </w:tc>
      </w:tr>
      <w:tr w:rsidR="00114E3C" w14:paraId="0EC8411B" w14:textId="77777777" w:rsidTr="0054575B">
        <w:trPr>
          <w:trHeight w:val="567"/>
        </w:trPr>
        <w:tc>
          <w:tcPr>
            <w:tcW w:w="1563" w:type="dxa"/>
            <w:vMerge/>
            <w:vAlign w:val="center"/>
          </w:tcPr>
          <w:p w14:paraId="4231CF22" w14:textId="77777777" w:rsidR="00114E3C" w:rsidRPr="00075F31" w:rsidRDefault="00114E3C" w:rsidP="00114E3C">
            <w:pPr>
              <w:jc w:val="distribute"/>
              <w:rPr>
                <w:rFonts w:ascii="Arial" w:eastAsia="ＭＳ ゴシック" w:hAnsi="ＭＳ ゴシック"/>
              </w:rPr>
            </w:pPr>
          </w:p>
        </w:tc>
        <w:tc>
          <w:tcPr>
            <w:tcW w:w="8571" w:type="dxa"/>
            <w:gridSpan w:val="3"/>
            <w:tcBorders>
              <w:top w:val="nil"/>
            </w:tcBorders>
            <w:vAlign w:val="center"/>
          </w:tcPr>
          <w:p w14:paraId="0BE42D96" w14:textId="77777777" w:rsidR="00114E3C" w:rsidRPr="00147019" w:rsidRDefault="00114E3C" w:rsidP="00114E3C">
            <w:pPr>
              <w:tabs>
                <w:tab w:val="left" w:pos="1132"/>
              </w:tabs>
              <w:snapToGrid w:val="0"/>
              <w:spacing w:line="200" w:lineRule="exact"/>
              <w:jc w:val="both"/>
              <w:rPr>
                <w:sz w:val="16"/>
                <w:szCs w:val="16"/>
              </w:rPr>
            </w:pPr>
            <w:r w:rsidRPr="00147019">
              <w:rPr>
                <w:rFonts w:hint="eastAsia"/>
                <w:sz w:val="16"/>
                <w:szCs w:val="16"/>
              </w:rPr>
              <w:t>「含量が異なる経口固形製剤の生物学的同等性試験ガイドライン」に基づき判定した結果、両製剤の溶出挙動は同等であり、両製剤は生物学的に同等であると判定された。</w:t>
            </w:r>
          </w:p>
          <w:p w14:paraId="4BB58BFD" w14:textId="77777777" w:rsidR="00114E3C" w:rsidRPr="00147019" w:rsidRDefault="00114E3C" w:rsidP="00114E3C">
            <w:pPr>
              <w:spacing w:line="200" w:lineRule="exact"/>
              <w:jc w:val="both"/>
              <w:rPr>
                <w:rFonts w:ascii="Arial" w:eastAsia="ＭＳ ゴシック" w:hAnsi="Arial"/>
                <w:sz w:val="16"/>
                <w:szCs w:val="16"/>
              </w:rPr>
            </w:pPr>
            <w:r w:rsidRPr="00147019">
              <w:rPr>
                <w:rFonts w:hint="eastAsia"/>
                <w:sz w:val="16"/>
                <w:szCs w:val="16"/>
              </w:rPr>
              <w:t>なお、標準製剤はヒトを対象とした生物学的同等性試験において</w:t>
            </w:r>
            <w:r>
              <w:rPr>
                <w:rFonts w:hint="eastAsia"/>
                <w:sz w:val="16"/>
                <w:szCs w:val="16"/>
              </w:rPr>
              <w:t>、</w:t>
            </w:r>
            <w:r w:rsidRPr="00147019">
              <w:rPr>
                <w:rFonts w:hint="eastAsia"/>
                <w:sz w:val="16"/>
                <w:szCs w:val="16"/>
              </w:rPr>
              <w:t>先発医薬品との生物学的同等性が確認されている。</w:t>
            </w:r>
          </w:p>
        </w:tc>
      </w:tr>
      <w:tr w:rsidR="00114E3C" w14:paraId="4FEDA4E3" w14:textId="77777777" w:rsidTr="0071103E">
        <w:trPr>
          <w:trHeight w:hRule="exact" w:val="284"/>
        </w:trPr>
        <w:tc>
          <w:tcPr>
            <w:tcW w:w="1563" w:type="dxa"/>
            <w:tcBorders>
              <w:bottom w:val="single" w:sz="4" w:space="0" w:color="auto"/>
            </w:tcBorders>
            <w:vAlign w:val="center"/>
          </w:tcPr>
          <w:p w14:paraId="33765445" w14:textId="77777777" w:rsidR="00114E3C" w:rsidRPr="00075F31" w:rsidRDefault="00114E3C" w:rsidP="00114E3C">
            <w:pPr>
              <w:jc w:val="distribute"/>
              <w:rPr>
                <w:rFonts w:ascii="Arial" w:eastAsia="ＭＳ ゴシック" w:hAnsi="Arial"/>
              </w:rPr>
            </w:pPr>
            <w:r w:rsidRPr="00075F31">
              <w:rPr>
                <w:rFonts w:ascii="Arial" w:eastAsia="ＭＳ ゴシック" w:hAnsi="ＭＳ ゴシック" w:hint="eastAsia"/>
              </w:rPr>
              <w:t>備考</w:t>
            </w:r>
          </w:p>
        </w:tc>
        <w:tc>
          <w:tcPr>
            <w:tcW w:w="8571" w:type="dxa"/>
            <w:gridSpan w:val="3"/>
            <w:tcBorders>
              <w:bottom w:val="single" w:sz="4" w:space="0" w:color="auto"/>
            </w:tcBorders>
            <w:vAlign w:val="center"/>
          </w:tcPr>
          <w:p w14:paraId="5D8B9C07" w14:textId="77777777" w:rsidR="00114E3C" w:rsidRPr="00512D05" w:rsidRDefault="00114E3C" w:rsidP="00114E3C"/>
        </w:tc>
      </w:tr>
      <w:tr w:rsidR="00114E3C" w14:paraId="6D950998" w14:textId="77777777" w:rsidTr="0071103E">
        <w:trPr>
          <w:trHeight w:hRule="exact" w:val="284"/>
        </w:trPr>
        <w:tc>
          <w:tcPr>
            <w:tcW w:w="1563" w:type="dxa"/>
            <w:vAlign w:val="center"/>
          </w:tcPr>
          <w:p w14:paraId="6ADB8B54" w14:textId="77777777" w:rsidR="00114E3C" w:rsidRPr="00075F31" w:rsidRDefault="00114E3C" w:rsidP="00114E3C">
            <w:pPr>
              <w:jc w:val="distribute"/>
              <w:rPr>
                <w:rFonts w:ascii="Arial" w:eastAsia="ＭＳ ゴシック" w:hAnsi="Arial"/>
              </w:rPr>
            </w:pPr>
            <w:r w:rsidRPr="00075F31">
              <w:rPr>
                <w:rFonts w:ascii="Arial" w:eastAsia="ＭＳ ゴシック" w:hAnsi="ＭＳ ゴシック" w:hint="eastAsia"/>
              </w:rPr>
              <w:t>担当者、連絡先</w:t>
            </w:r>
          </w:p>
        </w:tc>
        <w:tc>
          <w:tcPr>
            <w:tcW w:w="8571" w:type="dxa"/>
            <w:gridSpan w:val="3"/>
            <w:vAlign w:val="center"/>
          </w:tcPr>
          <w:p w14:paraId="037D00D1" w14:textId="77777777" w:rsidR="00114E3C" w:rsidRDefault="00114E3C" w:rsidP="00114E3C">
            <w:pPr>
              <w:rPr>
                <w:rFonts w:ascii="ＭＳ ゴシック" w:eastAsia="ＭＳ ゴシック" w:hAnsi="ＭＳ ゴシック"/>
                <w:sz w:val="22"/>
              </w:rPr>
            </w:pPr>
          </w:p>
        </w:tc>
      </w:tr>
    </w:tbl>
    <w:p w14:paraId="099E0ADA" w14:textId="77777777" w:rsidR="00AC0699" w:rsidRDefault="008433AD" w:rsidP="0054575B">
      <w:pPr>
        <w:jc w:val="right"/>
      </w:pPr>
      <w:r>
        <w:t>2026年4月</w:t>
      </w:r>
    </w:p>
    <w:sectPr w:rsidR="00AC0699" w:rsidSect="00287A82">
      <w:headerReference w:type="default" r:id="rId15"/>
      <w:pgSz w:w="11906" w:h="16838" w:code="9"/>
      <w:pgMar w:top="-284" w:right="737" w:bottom="284" w:left="1021" w:header="567" w:footer="284" w:gutter="0"/>
      <w:cols w:space="708"/>
      <w:docGrid w:type="linesAndChars" w:linePitch="293"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BC9F6" w14:textId="77777777" w:rsidR="00D40236" w:rsidRDefault="00D40236">
      <w:r>
        <w:separator/>
      </w:r>
    </w:p>
  </w:endnote>
  <w:endnote w:type="continuationSeparator" w:id="0">
    <w:p w14:paraId="0C8B501C" w14:textId="77777777" w:rsidR="00D40236" w:rsidRDefault="00D40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9C97D" w14:textId="77777777" w:rsidR="00D40236" w:rsidRDefault="00D40236">
      <w:r>
        <w:separator/>
      </w:r>
    </w:p>
  </w:footnote>
  <w:footnote w:type="continuationSeparator" w:id="0">
    <w:p w14:paraId="53CCBFBF" w14:textId="77777777" w:rsidR="00D40236" w:rsidRDefault="00D40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2ECF9" w14:textId="77777777" w:rsidR="00373EA8" w:rsidRDefault="00373EA8">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344B3D"/>
    <w:multiLevelType w:val="hybridMultilevel"/>
    <w:tmpl w:val="4FAA9AC0"/>
    <w:lvl w:ilvl="0" w:tplc="AEE2C9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A537B8"/>
    <w:multiLevelType w:val="hybridMultilevel"/>
    <w:tmpl w:val="C7D4A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7F04E0"/>
    <w:multiLevelType w:val="hybridMultilevel"/>
    <w:tmpl w:val="13563D48"/>
    <w:lvl w:ilvl="0" w:tplc="96EC6E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D5218B4"/>
    <w:multiLevelType w:val="hybridMultilevel"/>
    <w:tmpl w:val="5B147332"/>
    <w:lvl w:ilvl="0" w:tplc="6A5828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EA4245B"/>
    <w:multiLevelType w:val="hybridMultilevel"/>
    <w:tmpl w:val="D51087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430851211">
    <w:abstractNumId w:val="0"/>
  </w:num>
  <w:num w:numId="2" w16cid:durableId="118883727">
    <w:abstractNumId w:val="8"/>
  </w:num>
  <w:num w:numId="3" w16cid:durableId="1509060405">
    <w:abstractNumId w:val="4"/>
  </w:num>
  <w:num w:numId="4" w16cid:durableId="564804466">
    <w:abstractNumId w:val="1"/>
  </w:num>
  <w:num w:numId="5" w16cid:durableId="368992785">
    <w:abstractNumId w:val="2"/>
  </w:num>
  <w:num w:numId="6" w16cid:durableId="259065314">
    <w:abstractNumId w:val="7"/>
  </w:num>
  <w:num w:numId="7" w16cid:durableId="1660422083">
    <w:abstractNumId w:val="3"/>
  </w:num>
  <w:num w:numId="8" w16cid:durableId="89401345">
    <w:abstractNumId w:val="6"/>
  </w:num>
  <w:num w:numId="9" w16cid:durableId="16817364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293"/>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CF"/>
    <w:rsid w:val="0001255A"/>
    <w:rsid w:val="00013E5D"/>
    <w:rsid w:val="00015921"/>
    <w:rsid w:val="00016D81"/>
    <w:rsid w:val="00020621"/>
    <w:rsid w:val="00030F81"/>
    <w:rsid w:val="00035996"/>
    <w:rsid w:val="00063300"/>
    <w:rsid w:val="00074554"/>
    <w:rsid w:val="00074895"/>
    <w:rsid w:val="00075F31"/>
    <w:rsid w:val="0008386E"/>
    <w:rsid w:val="000A18BB"/>
    <w:rsid w:val="000A1C0B"/>
    <w:rsid w:val="000A2058"/>
    <w:rsid w:val="000A5549"/>
    <w:rsid w:val="000B10E0"/>
    <w:rsid w:val="000B34BF"/>
    <w:rsid w:val="000B4EF0"/>
    <w:rsid w:val="000D1D6A"/>
    <w:rsid w:val="000D3791"/>
    <w:rsid w:val="000D432F"/>
    <w:rsid w:val="000D5286"/>
    <w:rsid w:val="000D721B"/>
    <w:rsid w:val="00100115"/>
    <w:rsid w:val="00100CFD"/>
    <w:rsid w:val="00101114"/>
    <w:rsid w:val="00101E55"/>
    <w:rsid w:val="00101E83"/>
    <w:rsid w:val="0011422E"/>
    <w:rsid w:val="00114E3C"/>
    <w:rsid w:val="00126A5F"/>
    <w:rsid w:val="00127B50"/>
    <w:rsid w:val="001328D9"/>
    <w:rsid w:val="00135683"/>
    <w:rsid w:val="00145BDD"/>
    <w:rsid w:val="00147019"/>
    <w:rsid w:val="00181F9C"/>
    <w:rsid w:val="001875D0"/>
    <w:rsid w:val="0019487D"/>
    <w:rsid w:val="001A7B1B"/>
    <w:rsid w:val="001D6D38"/>
    <w:rsid w:val="001F3F84"/>
    <w:rsid w:val="002007CB"/>
    <w:rsid w:val="002009CF"/>
    <w:rsid w:val="002014A2"/>
    <w:rsid w:val="002037CF"/>
    <w:rsid w:val="00211325"/>
    <w:rsid w:val="002136A4"/>
    <w:rsid w:val="00213CE0"/>
    <w:rsid w:val="00225B45"/>
    <w:rsid w:val="00236244"/>
    <w:rsid w:val="00240411"/>
    <w:rsid w:val="00246F9F"/>
    <w:rsid w:val="002530B7"/>
    <w:rsid w:val="00271048"/>
    <w:rsid w:val="00287A82"/>
    <w:rsid w:val="002932D8"/>
    <w:rsid w:val="00296B56"/>
    <w:rsid w:val="002A01F3"/>
    <w:rsid w:val="002C02CE"/>
    <w:rsid w:val="002D5402"/>
    <w:rsid w:val="002F4E60"/>
    <w:rsid w:val="002F744D"/>
    <w:rsid w:val="00307EB0"/>
    <w:rsid w:val="00311DDD"/>
    <w:rsid w:val="0032067C"/>
    <w:rsid w:val="00322899"/>
    <w:rsid w:val="0032478C"/>
    <w:rsid w:val="00327AD0"/>
    <w:rsid w:val="003348DB"/>
    <w:rsid w:val="0033716E"/>
    <w:rsid w:val="003404EB"/>
    <w:rsid w:val="00361611"/>
    <w:rsid w:val="00361A7B"/>
    <w:rsid w:val="00362ADE"/>
    <w:rsid w:val="003714DA"/>
    <w:rsid w:val="00373EA8"/>
    <w:rsid w:val="00374471"/>
    <w:rsid w:val="00375B1F"/>
    <w:rsid w:val="00375E0A"/>
    <w:rsid w:val="00376A46"/>
    <w:rsid w:val="003838C0"/>
    <w:rsid w:val="00386C27"/>
    <w:rsid w:val="003A1A60"/>
    <w:rsid w:val="003A23E0"/>
    <w:rsid w:val="003B2424"/>
    <w:rsid w:val="003B4C9D"/>
    <w:rsid w:val="003D2DF8"/>
    <w:rsid w:val="00404F12"/>
    <w:rsid w:val="00404FB1"/>
    <w:rsid w:val="00416BDB"/>
    <w:rsid w:val="0042046F"/>
    <w:rsid w:val="004254C4"/>
    <w:rsid w:val="0042645B"/>
    <w:rsid w:val="0043150F"/>
    <w:rsid w:val="00436780"/>
    <w:rsid w:val="00436DE7"/>
    <w:rsid w:val="00445E65"/>
    <w:rsid w:val="00451506"/>
    <w:rsid w:val="00455A00"/>
    <w:rsid w:val="00457302"/>
    <w:rsid w:val="004646FC"/>
    <w:rsid w:val="004676F6"/>
    <w:rsid w:val="00471D66"/>
    <w:rsid w:val="004861ED"/>
    <w:rsid w:val="00492940"/>
    <w:rsid w:val="00494EF5"/>
    <w:rsid w:val="004A4FA8"/>
    <w:rsid w:val="004A6E02"/>
    <w:rsid w:val="004B0816"/>
    <w:rsid w:val="004B130C"/>
    <w:rsid w:val="004B325C"/>
    <w:rsid w:val="004B7FCF"/>
    <w:rsid w:val="004D3FF9"/>
    <w:rsid w:val="004D44A5"/>
    <w:rsid w:val="004E2FAA"/>
    <w:rsid w:val="004E34DB"/>
    <w:rsid w:val="00500499"/>
    <w:rsid w:val="0050192D"/>
    <w:rsid w:val="0050632E"/>
    <w:rsid w:val="00512D05"/>
    <w:rsid w:val="00517C16"/>
    <w:rsid w:val="00522463"/>
    <w:rsid w:val="00522D06"/>
    <w:rsid w:val="00532337"/>
    <w:rsid w:val="0054575B"/>
    <w:rsid w:val="00562EF3"/>
    <w:rsid w:val="00563742"/>
    <w:rsid w:val="0056589B"/>
    <w:rsid w:val="005701DC"/>
    <w:rsid w:val="0057085D"/>
    <w:rsid w:val="00583276"/>
    <w:rsid w:val="00585C31"/>
    <w:rsid w:val="0058665E"/>
    <w:rsid w:val="00592716"/>
    <w:rsid w:val="005A6AEF"/>
    <w:rsid w:val="005A7498"/>
    <w:rsid w:val="005B1C19"/>
    <w:rsid w:val="005B2795"/>
    <w:rsid w:val="005C12AD"/>
    <w:rsid w:val="005C14DE"/>
    <w:rsid w:val="005C6973"/>
    <w:rsid w:val="005D7609"/>
    <w:rsid w:val="005E1A4A"/>
    <w:rsid w:val="005E1C2E"/>
    <w:rsid w:val="005E4E88"/>
    <w:rsid w:val="005E7092"/>
    <w:rsid w:val="005F29DC"/>
    <w:rsid w:val="005F3C0D"/>
    <w:rsid w:val="005F6EA3"/>
    <w:rsid w:val="005F7EB0"/>
    <w:rsid w:val="00601072"/>
    <w:rsid w:val="006025DA"/>
    <w:rsid w:val="006132A2"/>
    <w:rsid w:val="00615FB2"/>
    <w:rsid w:val="0061671E"/>
    <w:rsid w:val="00621C18"/>
    <w:rsid w:val="00622323"/>
    <w:rsid w:val="006432CC"/>
    <w:rsid w:val="00654341"/>
    <w:rsid w:val="006548F9"/>
    <w:rsid w:val="00655F5E"/>
    <w:rsid w:val="006866B3"/>
    <w:rsid w:val="006874EB"/>
    <w:rsid w:val="00692ECF"/>
    <w:rsid w:val="006975A1"/>
    <w:rsid w:val="006A6CCE"/>
    <w:rsid w:val="006B1DC9"/>
    <w:rsid w:val="006B6BD9"/>
    <w:rsid w:val="006B6DC0"/>
    <w:rsid w:val="006C1C24"/>
    <w:rsid w:val="006C5E3D"/>
    <w:rsid w:val="006D2C27"/>
    <w:rsid w:val="006E1D69"/>
    <w:rsid w:val="006E1DD6"/>
    <w:rsid w:val="006E6EE2"/>
    <w:rsid w:val="006E714A"/>
    <w:rsid w:val="006E7F1B"/>
    <w:rsid w:val="006F34C5"/>
    <w:rsid w:val="006F6047"/>
    <w:rsid w:val="0071103E"/>
    <w:rsid w:val="00711299"/>
    <w:rsid w:val="00714438"/>
    <w:rsid w:val="00716E7D"/>
    <w:rsid w:val="00717414"/>
    <w:rsid w:val="007201AF"/>
    <w:rsid w:val="00743E15"/>
    <w:rsid w:val="00751125"/>
    <w:rsid w:val="007570C5"/>
    <w:rsid w:val="00764F87"/>
    <w:rsid w:val="0077609D"/>
    <w:rsid w:val="00780C00"/>
    <w:rsid w:val="007912EA"/>
    <w:rsid w:val="00791991"/>
    <w:rsid w:val="007A065A"/>
    <w:rsid w:val="007A2541"/>
    <w:rsid w:val="007C0A0A"/>
    <w:rsid w:val="007C4F1E"/>
    <w:rsid w:val="007F3678"/>
    <w:rsid w:val="007F430A"/>
    <w:rsid w:val="007F55C2"/>
    <w:rsid w:val="008028E1"/>
    <w:rsid w:val="008037B6"/>
    <w:rsid w:val="00812764"/>
    <w:rsid w:val="00816F47"/>
    <w:rsid w:val="00823722"/>
    <w:rsid w:val="00830E48"/>
    <w:rsid w:val="00832085"/>
    <w:rsid w:val="008433AD"/>
    <w:rsid w:val="00844233"/>
    <w:rsid w:val="00845327"/>
    <w:rsid w:val="00850715"/>
    <w:rsid w:val="00854CF8"/>
    <w:rsid w:val="00857732"/>
    <w:rsid w:val="00866A4E"/>
    <w:rsid w:val="0087356E"/>
    <w:rsid w:val="00884DAB"/>
    <w:rsid w:val="008946F1"/>
    <w:rsid w:val="008B14D4"/>
    <w:rsid w:val="008E05D5"/>
    <w:rsid w:val="008E4A0D"/>
    <w:rsid w:val="008E7C3E"/>
    <w:rsid w:val="008F4C25"/>
    <w:rsid w:val="00903F05"/>
    <w:rsid w:val="00922FE9"/>
    <w:rsid w:val="00927287"/>
    <w:rsid w:val="009355C7"/>
    <w:rsid w:val="0093639F"/>
    <w:rsid w:val="00937EC6"/>
    <w:rsid w:val="0095009F"/>
    <w:rsid w:val="009536F7"/>
    <w:rsid w:val="00961644"/>
    <w:rsid w:val="009672D3"/>
    <w:rsid w:val="00971344"/>
    <w:rsid w:val="00984003"/>
    <w:rsid w:val="00987712"/>
    <w:rsid w:val="009B2862"/>
    <w:rsid w:val="009C226D"/>
    <w:rsid w:val="009D6303"/>
    <w:rsid w:val="009D6935"/>
    <w:rsid w:val="009D74C5"/>
    <w:rsid w:val="009F7C5F"/>
    <w:rsid w:val="00A021B5"/>
    <w:rsid w:val="00A042CD"/>
    <w:rsid w:val="00A17021"/>
    <w:rsid w:val="00A24368"/>
    <w:rsid w:val="00A31634"/>
    <w:rsid w:val="00A403AE"/>
    <w:rsid w:val="00A403EC"/>
    <w:rsid w:val="00A40865"/>
    <w:rsid w:val="00A413B2"/>
    <w:rsid w:val="00A41680"/>
    <w:rsid w:val="00A42893"/>
    <w:rsid w:val="00A44188"/>
    <w:rsid w:val="00A44949"/>
    <w:rsid w:val="00A50182"/>
    <w:rsid w:val="00A565FC"/>
    <w:rsid w:val="00A62643"/>
    <w:rsid w:val="00A76AF2"/>
    <w:rsid w:val="00A83EC4"/>
    <w:rsid w:val="00A9303C"/>
    <w:rsid w:val="00AC0699"/>
    <w:rsid w:val="00AD0777"/>
    <w:rsid w:val="00AD7C39"/>
    <w:rsid w:val="00AE3252"/>
    <w:rsid w:val="00AE71DE"/>
    <w:rsid w:val="00B016F8"/>
    <w:rsid w:val="00B039F2"/>
    <w:rsid w:val="00B1359F"/>
    <w:rsid w:val="00B3070D"/>
    <w:rsid w:val="00B329E1"/>
    <w:rsid w:val="00B431C9"/>
    <w:rsid w:val="00B47183"/>
    <w:rsid w:val="00B60FE7"/>
    <w:rsid w:val="00B613B3"/>
    <w:rsid w:val="00B62DE3"/>
    <w:rsid w:val="00B6351D"/>
    <w:rsid w:val="00B678D8"/>
    <w:rsid w:val="00B815CE"/>
    <w:rsid w:val="00B91EE9"/>
    <w:rsid w:val="00BA15FA"/>
    <w:rsid w:val="00BA436B"/>
    <w:rsid w:val="00BC012E"/>
    <w:rsid w:val="00BC07F9"/>
    <w:rsid w:val="00BC35D2"/>
    <w:rsid w:val="00BC4610"/>
    <w:rsid w:val="00BC5A3D"/>
    <w:rsid w:val="00BD15DE"/>
    <w:rsid w:val="00BD3E50"/>
    <w:rsid w:val="00BD4DC0"/>
    <w:rsid w:val="00BE490D"/>
    <w:rsid w:val="00BF2D1F"/>
    <w:rsid w:val="00C00428"/>
    <w:rsid w:val="00C05290"/>
    <w:rsid w:val="00C2207F"/>
    <w:rsid w:val="00C253FB"/>
    <w:rsid w:val="00C341BF"/>
    <w:rsid w:val="00C34F43"/>
    <w:rsid w:val="00C3535C"/>
    <w:rsid w:val="00C402BF"/>
    <w:rsid w:val="00C44F81"/>
    <w:rsid w:val="00C745D2"/>
    <w:rsid w:val="00C91DB7"/>
    <w:rsid w:val="00CA3EF6"/>
    <w:rsid w:val="00CA409E"/>
    <w:rsid w:val="00CB018A"/>
    <w:rsid w:val="00CB7213"/>
    <w:rsid w:val="00CB7F28"/>
    <w:rsid w:val="00CC3983"/>
    <w:rsid w:val="00CC5333"/>
    <w:rsid w:val="00CF06A2"/>
    <w:rsid w:val="00D04702"/>
    <w:rsid w:val="00D161E8"/>
    <w:rsid w:val="00D203FF"/>
    <w:rsid w:val="00D23832"/>
    <w:rsid w:val="00D40236"/>
    <w:rsid w:val="00D407D5"/>
    <w:rsid w:val="00D761B1"/>
    <w:rsid w:val="00D7648B"/>
    <w:rsid w:val="00D8557C"/>
    <w:rsid w:val="00D903F4"/>
    <w:rsid w:val="00D96E98"/>
    <w:rsid w:val="00DA0680"/>
    <w:rsid w:val="00DB291D"/>
    <w:rsid w:val="00DB3026"/>
    <w:rsid w:val="00DB45D7"/>
    <w:rsid w:val="00DC3587"/>
    <w:rsid w:val="00DC63E9"/>
    <w:rsid w:val="00DC72BA"/>
    <w:rsid w:val="00DD7743"/>
    <w:rsid w:val="00DE1C59"/>
    <w:rsid w:val="00DF04E6"/>
    <w:rsid w:val="00DF129D"/>
    <w:rsid w:val="00DF21A3"/>
    <w:rsid w:val="00DF66D2"/>
    <w:rsid w:val="00E03AC4"/>
    <w:rsid w:val="00E042E7"/>
    <w:rsid w:val="00E147FA"/>
    <w:rsid w:val="00E22E4E"/>
    <w:rsid w:val="00E436DD"/>
    <w:rsid w:val="00E51C27"/>
    <w:rsid w:val="00E5379A"/>
    <w:rsid w:val="00E53C44"/>
    <w:rsid w:val="00E54CC3"/>
    <w:rsid w:val="00E560B3"/>
    <w:rsid w:val="00E6091D"/>
    <w:rsid w:val="00E62ECF"/>
    <w:rsid w:val="00E6542A"/>
    <w:rsid w:val="00E65BBD"/>
    <w:rsid w:val="00E752E4"/>
    <w:rsid w:val="00E76BBA"/>
    <w:rsid w:val="00E82CE6"/>
    <w:rsid w:val="00E9362B"/>
    <w:rsid w:val="00E9488F"/>
    <w:rsid w:val="00EA2AAF"/>
    <w:rsid w:val="00EA41E6"/>
    <w:rsid w:val="00EA6065"/>
    <w:rsid w:val="00EB5590"/>
    <w:rsid w:val="00EC0854"/>
    <w:rsid w:val="00EC21A9"/>
    <w:rsid w:val="00ED0B20"/>
    <w:rsid w:val="00ED688D"/>
    <w:rsid w:val="00ED6938"/>
    <w:rsid w:val="00EE6533"/>
    <w:rsid w:val="00EF50A1"/>
    <w:rsid w:val="00F06947"/>
    <w:rsid w:val="00F13BB4"/>
    <w:rsid w:val="00F4076B"/>
    <w:rsid w:val="00F51702"/>
    <w:rsid w:val="00F520FE"/>
    <w:rsid w:val="00F81049"/>
    <w:rsid w:val="00FA1BA6"/>
    <w:rsid w:val="00FA4E49"/>
    <w:rsid w:val="00FB1BA2"/>
    <w:rsid w:val="00FB2EBF"/>
    <w:rsid w:val="00FB5A62"/>
    <w:rsid w:val="00FC6F1E"/>
    <w:rsid w:val="00FE23A0"/>
    <w:rsid w:val="00FE4940"/>
    <w:rsid w:val="00FE6976"/>
    <w:rsid w:val="00FF1DC1"/>
    <w:rsid w:val="00FF48E4"/>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4B71F027"/>
  <w15:chartTrackingRefBased/>
  <w15:docId w15:val="{2F8E376E-16A4-41E7-B8CD-DCF6FD96A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66B3"/>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L3b">
    <w:name w:val="L3b"/>
    <w:link w:val="L3b0"/>
    <w:rsid w:val="00D761B1"/>
    <w:pPr>
      <w:widowControl w:val="0"/>
      <w:adjustRightInd w:val="0"/>
      <w:ind w:left="510"/>
      <w:jc w:val="both"/>
      <w:textAlignment w:val="baseline"/>
    </w:pPr>
    <w:rPr>
      <w:rFonts w:ascii="Century" w:hAnsi="Century"/>
      <w:noProof/>
      <w:color w:val="000000"/>
    </w:rPr>
  </w:style>
  <w:style w:type="paragraph" w:styleId="a5">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6">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customStyle="1" w:styleId="hb10">
    <w:name w:val="hb10"/>
    <w:basedOn w:val="L3b"/>
    <w:rsid w:val="00016D81"/>
  </w:style>
  <w:style w:type="paragraph" w:styleId="a7">
    <w:name w:val="Block Text"/>
    <w:basedOn w:val="a"/>
    <w:rsid w:val="00AD0777"/>
    <w:pPr>
      <w:widowControl w:val="0"/>
      <w:spacing w:before="120"/>
      <w:ind w:left="426" w:right="57" w:hanging="426"/>
      <w:jc w:val="both"/>
    </w:pPr>
    <w:rPr>
      <w:rFonts w:ascii="Mincho" w:eastAsia="Mincho"/>
      <w:kern w:val="2"/>
      <w:sz w:val="21"/>
      <w:szCs w:val="20"/>
    </w:rPr>
  </w:style>
  <w:style w:type="paragraph" w:styleId="a8">
    <w:name w:val="Balloon Text"/>
    <w:basedOn w:val="a"/>
    <w:semiHidden/>
    <w:rsid w:val="004B325C"/>
    <w:rPr>
      <w:rFonts w:ascii="Arial" w:eastAsia="ＭＳ ゴシック" w:hAnsi="Arial"/>
      <w:sz w:val="18"/>
      <w:szCs w:val="18"/>
    </w:rPr>
  </w:style>
  <w:style w:type="paragraph" w:styleId="a9">
    <w:name w:val="Date"/>
    <w:basedOn w:val="a"/>
    <w:next w:val="a"/>
    <w:rsid w:val="00001DCF"/>
  </w:style>
  <w:style w:type="character" w:customStyle="1" w:styleId="L3b0">
    <w:name w:val="L3b (文字)"/>
    <w:link w:val="L3b"/>
    <w:rsid w:val="003B2424"/>
    <w:rPr>
      <w:rFonts w:ascii="Century" w:hAnsi="Century"/>
      <w:noProof/>
      <w:color w:val="000000"/>
    </w:rPr>
  </w:style>
  <w:style w:type="paragraph" w:customStyle="1" w:styleId="L2b">
    <w:name w:val="L2b"/>
    <w:rsid w:val="00404FB1"/>
    <w:pPr>
      <w:widowControl w:val="0"/>
      <w:adjustRightInd w:val="0"/>
      <w:ind w:left="284"/>
      <w:jc w:val="both"/>
      <w:textAlignment w:val="baseline"/>
    </w:pPr>
    <w:rPr>
      <w:rFonts w:ascii="Century" w:hAnsi="Century"/>
      <w:noProof/>
      <w:color w:val="000000"/>
    </w:rPr>
  </w:style>
  <w:style w:type="character" w:styleId="aa">
    <w:name w:val="annotation reference"/>
    <w:rsid w:val="00E5379A"/>
    <w:rPr>
      <w:sz w:val="18"/>
      <w:szCs w:val="18"/>
    </w:rPr>
  </w:style>
  <w:style w:type="paragraph" w:styleId="ab">
    <w:name w:val="annotation text"/>
    <w:basedOn w:val="a"/>
    <w:link w:val="ac"/>
    <w:rsid w:val="00E5379A"/>
  </w:style>
  <w:style w:type="character" w:customStyle="1" w:styleId="ac">
    <w:name w:val="コメント文字列 (文字)"/>
    <w:link w:val="ab"/>
    <w:rsid w:val="00E5379A"/>
    <w:rPr>
      <w:rFonts w:ascii="Century" w:hAnsi="Century"/>
      <w:szCs w:val="24"/>
    </w:rPr>
  </w:style>
  <w:style w:type="paragraph" w:styleId="ad">
    <w:name w:val="annotation subject"/>
    <w:basedOn w:val="ab"/>
    <w:next w:val="ab"/>
    <w:link w:val="ae"/>
    <w:rsid w:val="00E5379A"/>
    <w:rPr>
      <w:b/>
      <w:bCs/>
    </w:rPr>
  </w:style>
  <w:style w:type="character" w:customStyle="1" w:styleId="ae">
    <w:name w:val="コメント内容 (文字)"/>
    <w:link w:val="ad"/>
    <w:rsid w:val="00E5379A"/>
    <w:rPr>
      <w:rFonts w:ascii="Century" w:hAnsi="Century"/>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25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AC67F87FABD81459F730936E5015315" ma:contentTypeVersion="0" ma:contentTypeDescription="新しいドキュメントを作成します。" ma:contentTypeScope="" ma:versionID="f0423eaf9054c76587ba6922d2d0ce36">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D765FC-6AA3-4FBB-96D4-B08DB6EBDF7A}">
  <ds:schemaRefs>
    <ds:schemaRef ds:uri="http://schemas.openxmlformats.org/officeDocument/2006/bibliography"/>
  </ds:schemaRefs>
</ds:datastoreItem>
</file>

<file path=customXml/itemProps2.xml><?xml version="1.0" encoding="utf-8"?>
<ds:datastoreItem xmlns:ds="http://schemas.openxmlformats.org/officeDocument/2006/customXml" ds:itemID="{86A64DAA-90A7-4261-8131-4C4B8D71C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4008A66-5C1F-47EE-9AB3-1E02D4B11BCC}">
  <ds:schemaRefs>
    <ds:schemaRef ds:uri="http://schemas.microsoft.com/sharepoint/v3/contenttype/forms"/>
  </ds:schemaRefs>
</ds:datastoreItem>
</file>

<file path=customXml/itemProps4.xml><?xml version="1.0" encoding="utf-8"?>
<ds:datastoreItem xmlns:ds="http://schemas.openxmlformats.org/officeDocument/2006/customXml" ds:itemID="{A0559BF2-752D-441E-BFAB-D42704972F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1289</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アマルエット配合錠1番「DSEP」製品別比較表2304(案)</vt:lpstr>
      <vt:lpstr>後　　発　　品</vt:lpstr>
    </vt:vector>
  </TitlesOfParts>
  <Company>大原薬品工業株式会社</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アマルエット配合錠1番「DSEP」製品別比較表2304(案)</dc:title>
  <dc:subject/>
  <dc:creator>KITAMURA TOSHINARI / 北村 俊成</dc:creator>
  <cp:keywords/>
  <cp:lastModifiedBy>SUZUKI YUMINA / 鈴木 由実奈</cp:lastModifiedBy>
  <cp:revision>4</cp:revision>
  <cp:lastPrinted>2019-05-10T00:45:00Z</cp:lastPrinted>
  <dcterms:created xsi:type="dcterms:W3CDTF">2024-03-13T04:15:00Z</dcterms:created>
  <dcterms:modified xsi:type="dcterms:W3CDTF">2025-03-10T02:58:00Z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表示順">
    <vt:lpwstr>01</vt:lpwstr>
  </property>
  <property fmtid="{D5CDD505-2E9C-101B-9397-08002B2CF9AE}" pid="3" name="PublishingExpirationDate">
    <vt:lpwstr/>
  </property>
  <property fmtid="{D5CDD505-2E9C-101B-9397-08002B2CF9AE}" pid="4" name="問い合わせ先(組織)">
    <vt:lpwstr/>
  </property>
  <property fmtid="{D5CDD505-2E9C-101B-9397-08002B2CF9AE}" pid="5" name="PublishingStartDate">
    <vt:lpwstr/>
  </property>
  <property fmtid="{D5CDD505-2E9C-101B-9397-08002B2CF9AE}" pid="6" name="発信元">
    <vt:lpwstr/>
  </property>
  <property fmtid="{D5CDD505-2E9C-101B-9397-08002B2CF9AE}" pid="7" name="問い合わせ先(名前)">
    <vt:lpwstr/>
  </property>
  <property fmtid="{D5CDD505-2E9C-101B-9397-08002B2CF9AE}" pid="8" name="問い合わせ先(内線)">
    <vt:lpwstr/>
  </property>
  <property fmtid="{D5CDD505-2E9C-101B-9397-08002B2CF9AE}" pid="9" name="問い合わせ先(email)">
    <vt:lpwstr/>
  </property>
</Properties>
</file>