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7300"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261D949D" w14:textId="77777777" w:rsidTr="00C42D29">
        <w:trPr>
          <w:trHeight w:val="20"/>
        </w:trPr>
        <w:tc>
          <w:tcPr>
            <w:tcW w:w="1704" w:type="dxa"/>
          </w:tcPr>
          <w:p w14:paraId="65A3B165" w14:textId="77777777" w:rsidR="008E4A0D" w:rsidRDefault="008E4A0D" w:rsidP="00457302">
            <w:pPr>
              <w:rPr>
                <w:rFonts w:ascii="ＭＳ ゴシック" w:eastAsia="ＭＳ ゴシック" w:hAnsi="ＭＳ ゴシック"/>
              </w:rPr>
            </w:pPr>
          </w:p>
        </w:tc>
        <w:tc>
          <w:tcPr>
            <w:tcW w:w="4215" w:type="dxa"/>
            <w:vAlign w:val="center"/>
          </w:tcPr>
          <w:p w14:paraId="53D96D32"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573EFA8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607000C" w14:textId="77777777" w:rsidTr="00C42D29">
        <w:trPr>
          <w:trHeight w:val="20"/>
        </w:trPr>
        <w:tc>
          <w:tcPr>
            <w:tcW w:w="1704" w:type="dxa"/>
            <w:vAlign w:val="center"/>
          </w:tcPr>
          <w:p w14:paraId="57DB0BC6"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095F8260"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30194F61" w14:textId="77777777" w:rsidR="00B016F8" w:rsidRPr="00B016F8" w:rsidRDefault="00B016F8" w:rsidP="00E65BBD">
            <w:pPr>
              <w:jc w:val="center"/>
              <w:rPr>
                <w:szCs w:val="20"/>
              </w:rPr>
            </w:pPr>
          </w:p>
        </w:tc>
      </w:tr>
      <w:tr w:rsidR="00B016F8" w14:paraId="45C80A8B" w14:textId="77777777" w:rsidTr="00C42D29">
        <w:trPr>
          <w:trHeight w:val="20"/>
        </w:trPr>
        <w:tc>
          <w:tcPr>
            <w:tcW w:w="1704" w:type="dxa"/>
            <w:vAlign w:val="center"/>
          </w:tcPr>
          <w:p w14:paraId="6599B4F5" w14:textId="77777777" w:rsidR="00B016F8" w:rsidRPr="00075F31" w:rsidRDefault="002E63E2"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54C00AB9" w14:textId="77777777" w:rsidR="00B016F8" w:rsidRPr="004E34DB" w:rsidRDefault="005D433E" w:rsidP="002F744D">
            <w:pPr>
              <w:jc w:val="center"/>
              <w:rPr>
                <w:rFonts w:ascii="Arial" w:eastAsia="ＭＳ ゴシック" w:hAnsi="Arial"/>
                <w:vertAlign w:val="subscript"/>
              </w:rPr>
            </w:pPr>
            <w:r>
              <w:rPr>
                <w:rFonts w:ascii="Arial" w:eastAsia="ＭＳ ゴシック" w:hAnsi="Arial" w:hint="eastAsia"/>
              </w:rPr>
              <w:t>メトホルミン塩酸塩</w:t>
            </w:r>
            <w:r w:rsidR="00A40865" w:rsidRPr="004E34DB">
              <w:rPr>
                <w:rFonts w:ascii="Arial" w:eastAsia="ＭＳ ゴシック" w:hAnsi="Arial" w:hint="eastAsia"/>
              </w:rPr>
              <w:t>錠</w:t>
            </w:r>
            <w:r>
              <w:rPr>
                <w:rFonts w:ascii="Arial" w:eastAsia="ＭＳ ゴシック" w:hAnsi="Arial" w:hint="eastAsia"/>
              </w:rPr>
              <w:t>2</w:t>
            </w:r>
            <w:r w:rsidR="001924CE">
              <w:rPr>
                <w:rFonts w:ascii="Arial" w:eastAsia="ＭＳ ゴシック" w:hAnsi="Arial" w:hint="eastAsia"/>
              </w:rPr>
              <w:t>50</w:t>
            </w:r>
            <w:r w:rsidR="00A565FC">
              <w:rPr>
                <w:rFonts w:ascii="Arial" w:eastAsia="ＭＳ ゴシック" w:hAnsi="Arial" w:hint="eastAsia"/>
              </w:rPr>
              <w:t>mg</w:t>
            </w:r>
            <w:r>
              <w:rPr>
                <w:rFonts w:ascii="Arial" w:eastAsia="ＭＳ ゴシック" w:hAnsi="Arial" w:hint="eastAsia"/>
              </w:rPr>
              <w:t>MT</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66682E60" w14:textId="38633DCD" w:rsidR="00B016F8" w:rsidRPr="00093D51" w:rsidRDefault="001A6BF2" w:rsidP="00CC5333">
            <w:pPr>
              <w:jc w:val="center"/>
              <w:rPr>
                <w:rFonts w:ascii="Arial" w:eastAsia="ＭＳ ゴシック" w:hAnsi="Arial" w:cs="Arial"/>
              </w:rPr>
            </w:pPr>
            <w:r w:rsidRPr="001A6BF2">
              <w:rPr>
                <w:rFonts w:ascii="Arial" w:eastAsia="ＭＳ ゴシック" w:hAnsi="Arial" w:cs="Arial" w:hint="eastAsia"/>
              </w:rPr>
              <w:t>メトグルコ錠</w:t>
            </w:r>
            <w:r w:rsidRPr="001A6BF2">
              <w:rPr>
                <w:rFonts w:ascii="Arial" w:eastAsia="ＭＳ ゴシック" w:hAnsi="Arial" w:cs="Arial" w:hint="eastAsia"/>
              </w:rPr>
              <w:t>250mg</w:t>
            </w:r>
          </w:p>
        </w:tc>
      </w:tr>
      <w:tr w:rsidR="004F0B7E" w14:paraId="21649E71" w14:textId="77777777" w:rsidTr="00C42D29">
        <w:trPr>
          <w:trHeight w:val="20"/>
        </w:trPr>
        <w:tc>
          <w:tcPr>
            <w:tcW w:w="1704" w:type="dxa"/>
            <w:vAlign w:val="center"/>
          </w:tcPr>
          <w:p w14:paraId="26493F07" w14:textId="77777777" w:rsidR="004F0B7E" w:rsidRPr="00075F31" w:rsidRDefault="004F0B7E" w:rsidP="008167B5">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6303C2C9" w14:textId="77777777" w:rsidR="004F0B7E" w:rsidRPr="00680230" w:rsidRDefault="000510A0" w:rsidP="004607B6">
            <w:pPr>
              <w:jc w:val="center"/>
              <w:rPr>
                <w:szCs w:val="20"/>
              </w:rPr>
            </w:pPr>
            <w:r>
              <w:rPr>
                <w:rFonts w:hAnsi="ＭＳ 明朝" w:hint="eastAsia"/>
                <w:szCs w:val="20"/>
              </w:rPr>
              <w:t>1</w:t>
            </w:r>
            <w:r>
              <w:rPr>
                <w:rFonts w:hAnsi="ＭＳ 明朝"/>
                <w:szCs w:val="20"/>
              </w:rPr>
              <w:t>0.10</w:t>
            </w:r>
            <w:r w:rsidR="004F0B7E" w:rsidRPr="00680230">
              <w:rPr>
                <w:rFonts w:hAnsi="ＭＳ 明朝" w:hint="eastAsia"/>
                <w:szCs w:val="20"/>
              </w:rPr>
              <w:t>円</w:t>
            </w:r>
          </w:p>
        </w:tc>
        <w:tc>
          <w:tcPr>
            <w:tcW w:w="4215" w:type="dxa"/>
            <w:vAlign w:val="center"/>
          </w:tcPr>
          <w:p w14:paraId="225491A8" w14:textId="77777777" w:rsidR="004F0B7E" w:rsidRPr="00680230" w:rsidRDefault="000510A0" w:rsidP="00297789">
            <w:pPr>
              <w:jc w:val="center"/>
              <w:rPr>
                <w:szCs w:val="20"/>
              </w:rPr>
            </w:pPr>
            <w:r>
              <w:rPr>
                <w:rFonts w:hAnsi="ＭＳ 明朝" w:hint="eastAsia"/>
                <w:szCs w:val="20"/>
              </w:rPr>
              <w:t>1</w:t>
            </w:r>
            <w:r>
              <w:rPr>
                <w:rFonts w:hAnsi="ＭＳ 明朝"/>
                <w:szCs w:val="20"/>
              </w:rPr>
              <w:t>0.10</w:t>
            </w:r>
            <w:r w:rsidR="004F0B7E" w:rsidRPr="00680230">
              <w:rPr>
                <w:rFonts w:hAnsi="ＭＳ 明朝" w:hint="eastAsia"/>
                <w:szCs w:val="20"/>
              </w:rPr>
              <w:t>円</w:t>
            </w:r>
          </w:p>
        </w:tc>
      </w:tr>
      <w:tr w:rsidR="005C12AD" w14:paraId="667A1CD9" w14:textId="77777777" w:rsidTr="00C42D29">
        <w:trPr>
          <w:trHeight w:val="20"/>
        </w:trPr>
        <w:tc>
          <w:tcPr>
            <w:tcW w:w="1704" w:type="dxa"/>
            <w:vAlign w:val="center"/>
          </w:tcPr>
          <w:p w14:paraId="53994539"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3A017F36" w14:textId="77777777" w:rsidR="005C12AD" w:rsidRPr="00B016F8" w:rsidRDefault="005C12AD" w:rsidP="00AB40A5">
            <w:pPr>
              <w:jc w:val="center"/>
            </w:pPr>
            <w:r>
              <w:t xml:space="preserve">1 </w:t>
            </w:r>
            <w:r>
              <w:rPr>
                <w:rFonts w:hint="eastAsia"/>
              </w:rPr>
              <w:t>錠中に</w:t>
            </w:r>
            <w:r w:rsidR="005D433E">
              <w:rPr>
                <w:rFonts w:ascii="Arial" w:eastAsia="ＭＳ ゴシック" w:hint="eastAsia"/>
              </w:rPr>
              <w:t>メトホルミン塩酸塩（日局）</w:t>
            </w:r>
            <w:r w:rsidR="005D433E" w:rsidRPr="005D433E">
              <w:rPr>
                <w:rFonts w:eastAsia="ＭＳ ゴシック"/>
              </w:rPr>
              <w:t>2</w:t>
            </w:r>
            <w:r w:rsidR="001924CE">
              <w:rPr>
                <w:rFonts w:hint="eastAsia"/>
              </w:rPr>
              <w:t>50</w:t>
            </w:r>
            <w:r>
              <w:t>mg</w:t>
            </w:r>
            <w:r>
              <w:rPr>
                <w:rFonts w:hint="eastAsia"/>
              </w:rPr>
              <w:t>を含有</w:t>
            </w:r>
          </w:p>
        </w:tc>
      </w:tr>
      <w:tr w:rsidR="002E63E2" w14:paraId="7F193548" w14:textId="77777777" w:rsidTr="00C42D29">
        <w:trPr>
          <w:trHeight w:val="20"/>
        </w:trPr>
        <w:tc>
          <w:tcPr>
            <w:tcW w:w="1704" w:type="dxa"/>
            <w:vAlign w:val="center"/>
          </w:tcPr>
          <w:p w14:paraId="18DFAC90"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57EBC07E" w14:textId="77777777" w:rsidR="002E63E2" w:rsidRPr="00C42D29" w:rsidRDefault="002E63E2" w:rsidP="002E63E2">
            <w:pPr>
              <w:rPr>
                <w:sz w:val="18"/>
                <w:szCs w:val="18"/>
              </w:rPr>
            </w:pPr>
            <w:r w:rsidRPr="00C42D29">
              <w:rPr>
                <w:rFonts w:hint="eastAsia"/>
                <w:sz w:val="18"/>
                <w:szCs w:val="18"/>
              </w:rPr>
              <w:t>ポ</w:t>
            </w:r>
            <w:r w:rsidR="0097570D" w:rsidRPr="00C42D29">
              <w:rPr>
                <w:rFonts w:hint="eastAsia"/>
                <w:sz w:val="18"/>
                <w:szCs w:val="18"/>
              </w:rPr>
              <w:t>ビ</w:t>
            </w:r>
            <w:r w:rsidRPr="00C42D29">
              <w:rPr>
                <w:rFonts w:hint="eastAsia"/>
                <w:sz w:val="18"/>
                <w:szCs w:val="18"/>
              </w:rPr>
              <w:t>ドン、ステアリン酸マグネシウム、ヒプロメロース、マクロゴール</w:t>
            </w:r>
            <w:r w:rsidRPr="00C42D29">
              <w:rPr>
                <w:rFonts w:hint="eastAsia"/>
                <w:sz w:val="18"/>
                <w:szCs w:val="18"/>
              </w:rPr>
              <w:t>6000</w:t>
            </w:r>
            <w:r w:rsidRPr="00C42D29">
              <w:rPr>
                <w:rFonts w:hint="eastAsia"/>
                <w:sz w:val="18"/>
                <w:szCs w:val="18"/>
              </w:rPr>
              <w:t>、酸化チタン、タルク、カルナウバロウ</w:t>
            </w:r>
          </w:p>
        </w:tc>
        <w:tc>
          <w:tcPr>
            <w:tcW w:w="4215" w:type="dxa"/>
            <w:tcBorders>
              <w:left w:val="single" w:sz="4" w:space="0" w:color="auto"/>
            </w:tcBorders>
            <w:tcMar>
              <w:top w:w="28" w:type="dxa"/>
              <w:left w:w="85" w:type="dxa"/>
              <w:bottom w:w="28" w:type="dxa"/>
              <w:right w:w="85" w:type="dxa"/>
            </w:tcMar>
          </w:tcPr>
          <w:p w14:paraId="0A4473C0" w14:textId="77777777" w:rsidR="002E63E2" w:rsidRPr="00C42D29" w:rsidRDefault="002E63E2" w:rsidP="002E63E2">
            <w:pPr>
              <w:rPr>
                <w:sz w:val="18"/>
                <w:szCs w:val="18"/>
              </w:rPr>
            </w:pPr>
            <w:r w:rsidRPr="00C42D29">
              <w:rPr>
                <w:rFonts w:hint="eastAsia"/>
                <w:sz w:val="18"/>
                <w:szCs w:val="18"/>
              </w:rPr>
              <w:t>ポビドン、ステアリン酸マグネシウム、ヒプロメロース、マクロゴール</w:t>
            </w:r>
            <w:r w:rsidRPr="00C42D29">
              <w:rPr>
                <w:rFonts w:hint="eastAsia"/>
                <w:sz w:val="18"/>
                <w:szCs w:val="18"/>
              </w:rPr>
              <w:t>400</w:t>
            </w:r>
            <w:r w:rsidRPr="00C42D29">
              <w:rPr>
                <w:rFonts w:hint="eastAsia"/>
                <w:sz w:val="18"/>
                <w:szCs w:val="18"/>
              </w:rPr>
              <w:t>、マクロゴール</w:t>
            </w:r>
            <w:r w:rsidRPr="00C42D29">
              <w:rPr>
                <w:rFonts w:hint="eastAsia"/>
                <w:sz w:val="18"/>
                <w:szCs w:val="18"/>
              </w:rPr>
              <w:t>6000</w:t>
            </w:r>
            <w:r w:rsidRPr="00C42D29">
              <w:rPr>
                <w:rFonts w:hint="eastAsia"/>
                <w:sz w:val="18"/>
                <w:szCs w:val="18"/>
              </w:rPr>
              <w:t>、タルク</w:t>
            </w:r>
          </w:p>
        </w:tc>
      </w:tr>
      <w:tr w:rsidR="002E63E2" w14:paraId="52210F21" w14:textId="77777777" w:rsidTr="00C42D29">
        <w:trPr>
          <w:trHeight w:val="20"/>
        </w:trPr>
        <w:tc>
          <w:tcPr>
            <w:tcW w:w="1704" w:type="dxa"/>
            <w:vAlign w:val="center"/>
          </w:tcPr>
          <w:p w14:paraId="051E15A1"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6E306860" w14:textId="77777777" w:rsidR="002E63E2" w:rsidRPr="00ED6938" w:rsidRDefault="002E63E2" w:rsidP="002E63E2">
            <w:pPr>
              <w:pStyle w:val="a3"/>
              <w:tabs>
                <w:tab w:val="clear" w:pos="4252"/>
                <w:tab w:val="clear" w:pos="8504"/>
              </w:tabs>
              <w:snapToGrid/>
              <w:jc w:val="center"/>
              <w:rPr>
                <w:rFonts w:ascii="ＭＳ 明朝" w:hAnsi="ＭＳ 明朝"/>
                <w:szCs w:val="20"/>
              </w:rPr>
            </w:pPr>
            <w:r>
              <w:rPr>
                <w:rFonts w:hint="eastAsia"/>
                <w:szCs w:val="20"/>
              </w:rPr>
              <w:t>ビグアナイド系経口血糖降下剤</w:t>
            </w:r>
          </w:p>
        </w:tc>
      </w:tr>
      <w:tr w:rsidR="002E63E2" w14:paraId="0DF84343" w14:textId="77777777" w:rsidTr="00C42D29">
        <w:trPr>
          <w:trHeight w:val="20"/>
        </w:trPr>
        <w:tc>
          <w:tcPr>
            <w:tcW w:w="1704" w:type="dxa"/>
            <w:vAlign w:val="center"/>
          </w:tcPr>
          <w:p w14:paraId="594E4053"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2A069A1A" w14:textId="77777777" w:rsidR="002E63E2" w:rsidRPr="00C42D29" w:rsidRDefault="0097570D" w:rsidP="002E63E2">
            <w:pPr>
              <w:adjustRightInd w:val="0"/>
              <w:jc w:val="both"/>
              <w:rPr>
                <w:sz w:val="18"/>
                <w:szCs w:val="18"/>
              </w:rPr>
            </w:pPr>
            <w:r w:rsidRPr="00C42D29">
              <w:rPr>
                <w:rFonts w:hint="eastAsia"/>
                <w:sz w:val="18"/>
                <w:szCs w:val="18"/>
              </w:rPr>
              <w:t>〇</w:t>
            </w:r>
            <w:r w:rsidR="002E63E2" w:rsidRPr="00C42D29">
              <w:rPr>
                <w:rFonts w:hint="eastAsia"/>
                <w:sz w:val="18"/>
                <w:szCs w:val="18"/>
              </w:rPr>
              <w:t>2</w:t>
            </w:r>
            <w:r w:rsidR="002E63E2" w:rsidRPr="00C42D29">
              <w:rPr>
                <w:rFonts w:hint="eastAsia"/>
                <w:sz w:val="18"/>
                <w:szCs w:val="18"/>
              </w:rPr>
              <w:t>型糖尿病</w:t>
            </w:r>
          </w:p>
          <w:p w14:paraId="5A52AB24" w14:textId="77777777" w:rsidR="002E63E2" w:rsidRPr="00C42D29" w:rsidRDefault="002E63E2" w:rsidP="00C42D29">
            <w:pPr>
              <w:adjustRightInd w:val="0"/>
              <w:ind w:leftChars="100" w:left="191"/>
              <w:jc w:val="both"/>
              <w:rPr>
                <w:sz w:val="18"/>
                <w:szCs w:val="18"/>
              </w:rPr>
            </w:pPr>
            <w:r w:rsidRPr="00C42D29">
              <w:rPr>
                <w:rFonts w:hint="eastAsia"/>
                <w:sz w:val="18"/>
                <w:szCs w:val="18"/>
              </w:rPr>
              <w:t>ただし</w:t>
            </w:r>
            <w:r w:rsidR="008D52F1">
              <w:rPr>
                <w:rFonts w:hint="eastAsia"/>
                <w:sz w:val="18"/>
                <w:szCs w:val="18"/>
              </w:rPr>
              <w:t>、</w:t>
            </w:r>
            <w:r w:rsidRPr="00C42D29">
              <w:rPr>
                <w:rFonts w:hint="eastAsia"/>
                <w:sz w:val="18"/>
                <w:szCs w:val="18"/>
              </w:rPr>
              <w:t>下記のいずれかの治療で十分な効果が得られない場合に限る。</w:t>
            </w:r>
          </w:p>
          <w:p w14:paraId="307C59CC" w14:textId="77777777" w:rsidR="002E63E2" w:rsidRPr="00C42D29" w:rsidRDefault="002E63E2" w:rsidP="00C42D29">
            <w:pPr>
              <w:numPr>
                <w:ilvl w:val="0"/>
                <w:numId w:val="12"/>
              </w:numPr>
              <w:adjustRightInd w:val="0"/>
              <w:ind w:leftChars="123" w:left="543" w:hanging="308"/>
              <w:jc w:val="both"/>
              <w:rPr>
                <w:sz w:val="18"/>
                <w:szCs w:val="18"/>
              </w:rPr>
            </w:pPr>
            <w:r w:rsidRPr="00C42D29">
              <w:rPr>
                <w:rFonts w:hint="eastAsia"/>
                <w:sz w:val="18"/>
                <w:szCs w:val="18"/>
              </w:rPr>
              <w:t>食事療法・運動療法のみ</w:t>
            </w:r>
          </w:p>
          <w:p w14:paraId="2D8DB928" w14:textId="77777777" w:rsidR="002E63E2" w:rsidRPr="00C42D29" w:rsidRDefault="002E63E2" w:rsidP="00C42D29">
            <w:pPr>
              <w:numPr>
                <w:ilvl w:val="0"/>
                <w:numId w:val="12"/>
              </w:numPr>
              <w:adjustRightInd w:val="0"/>
              <w:ind w:leftChars="123" w:left="543" w:hanging="308"/>
              <w:jc w:val="both"/>
              <w:rPr>
                <w:sz w:val="18"/>
                <w:szCs w:val="18"/>
              </w:rPr>
            </w:pPr>
            <w:r w:rsidRPr="00C42D29">
              <w:rPr>
                <w:rFonts w:hint="eastAsia"/>
                <w:sz w:val="18"/>
                <w:szCs w:val="18"/>
              </w:rPr>
              <w:t>食事療法・運動療法に加えてスルホニルウレア剤を使用</w:t>
            </w:r>
          </w:p>
          <w:p w14:paraId="31050966" w14:textId="77777777" w:rsidR="0097570D" w:rsidRPr="00C42D29" w:rsidRDefault="0097570D" w:rsidP="0097570D">
            <w:pPr>
              <w:adjustRightInd w:val="0"/>
              <w:ind w:left="45"/>
              <w:jc w:val="both"/>
              <w:rPr>
                <w:sz w:val="18"/>
                <w:szCs w:val="18"/>
              </w:rPr>
            </w:pPr>
            <w:r w:rsidRPr="00C42D29">
              <w:rPr>
                <w:rFonts w:hint="eastAsia"/>
                <w:sz w:val="18"/>
                <w:szCs w:val="18"/>
              </w:rPr>
              <w:t>〇多嚢胞性卵巣症候群における排卵誘発、多嚢胞性卵巣症候群の生殖補助医療における調節卵巣刺激</w:t>
            </w:r>
          </w:p>
          <w:p w14:paraId="29466E0A" w14:textId="77777777" w:rsidR="0097570D" w:rsidRPr="00C42D29" w:rsidRDefault="0097570D" w:rsidP="00C42D29">
            <w:pPr>
              <w:adjustRightInd w:val="0"/>
              <w:ind w:leftChars="123" w:left="235"/>
              <w:jc w:val="both"/>
              <w:rPr>
                <w:sz w:val="18"/>
                <w:szCs w:val="18"/>
              </w:rPr>
            </w:pPr>
            <w:r w:rsidRPr="00C42D29">
              <w:rPr>
                <w:rFonts w:hint="eastAsia"/>
                <w:sz w:val="18"/>
                <w:szCs w:val="18"/>
              </w:rPr>
              <w:t>ただし、肥満、耐糖能異常、又はインスリン抵抗性のいずれかを呈する患者に限る。</w:t>
            </w:r>
          </w:p>
        </w:tc>
      </w:tr>
      <w:tr w:rsidR="002E63E2" w14:paraId="108CC945" w14:textId="77777777" w:rsidTr="00C42D29">
        <w:trPr>
          <w:trHeight w:val="20"/>
        </w:trPr>
        <w:tc>
          <w:tcPr>
            <w:tcW w:w="1704" w:type="dxa"/>
            <w:vAlign w:val="center"/>
          </w:tcPr>
          <w:p w14:paraId="08391BB6"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11E8DBB4" w14:textId="77777777" w:rsidR="0097570D" w:rsidRPr="00C42D29" w:rsidRDefault="0097570D" w:rsidP="002E63E2">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w:t>
            </w:r>
            <w:r w:rsidRPr="00C42D29">
              <w:rPr>
                <w:rFonts w:ascii="Arial" w:eastAsia="ＭＳ ゴシック" w:hAnsi="Arial" w:cs="Arial"/>
                <w:sz w:val="16"/>
                <w:szCs w:val="16"/>
              </w:rPr>
              <w:t>2</w:t>
            </w:r>
            <w:r w:rsidRPr="00C42D29">
              <w:rPr>
                <w:rFonts w:ascii="Arial" w:eastAsia="ＭＳ ゴシック" w:hAnsi="Arial" w:cs="Arial"/>
                <w:sz w:val="16"/>
                <w:szCs w:val="16"/>
              </w:rPr>
              <w:t>型糖尿病〉</w:t>
            </w:r>
          </w:p>
          <w:p w14:paraId="2D413FEA" w14:textId="77777777" w:rsidR="002E63E2" w:rsidRPr="00C42D29" w:rsidRDefault="002E63E2" w:rsidP="002E63E2">
            <w:pPr>
              <w:ind w:firstLineChars="1" w:firstLine="2"/>
              <w:jc w:val="both"/>
              <w:rPr>
                <w:rFonts w:ascii="ＭＳ 明朝" w:hAnsi="ＭＳ 明朝"/>
                <w:sz w:val="16"/>
                <w:szCs w:val="16"/>
              </w:rPr>
            </w:pPr>
            <w:r w:rsidRPr="00C42D29">
              <w:rPr>
                <w:rFonts w:ascii="ＭＳ 明朝" w:hAnsi="ＭＳ 明朝" w:hint="eastAsia"/>
                <w:sz w:val="16"/>
                <w:szCs w:val="16"/>
              </w:rPr>
              <w:t>通常、成人にはメトホルミン塩酸塩として</w:t>
            </w:r>
            <w:r w:rsidRPr="00C42D29">
              <w:rPr>
                <w:sz w:val="16"/>
                <w:szCs w:val="16"/>
              </w:rPr>
              <w:t>1</w:t>
            </w:r>
            <w:r w:rsidRPr="00C42D29">
              <w:rPr>
                <w:rFonts w:ascii="ＭＳ 明朝" w:hAnsi="ＭＳ 明朝" w:hint="eastAsia"/>
                <w:sz w:val="16"/>
                <w:szCs w:val="16"/>
              </w:rPr>
              <w:t>日</w:t>
            </w:r>
            <w:r w:rsidRPr="00C42D29">
              <w:rPr>
                <w:sz w:val="16"/>
                <w:szCs w:val="16"/>
              </w:rPr>
              <w:t>500mg</w:t>
            </w:r>
            <w:r w:rsidRPr="00C42D29">
              <w:rPr>
                <w:rFonts w:ascii="ＭＳ 明朝" w:hAnsi="ＭＳ 明朝" w:hint="eastAsia"/>
                <w:sz w:val="16"/>
                <w:szCs w:val="16"/>
              </w:rPr>
              <w:t>より開始し、</w:t>
            </w:r>
            <w:r w:rsidRPr="00C42D29">
              <w:rPr>
                <w:sz w:val="16"/>
                <w:szCs w:val="16"/>
              </w:rPr>
              <w:t>1</w:t>
            </w:r>
            <w:r w:rsidRPr="00C42D29">
              <w:rPr>
                <w:rFonts w:ascii="ＭＳ 明朝" w:hAnsi="ＭＳ 明朝" w:hint="eastAsia"/>
                <w:sz w:val="16"/>
                <w:szCs w:val="16"/>
              </w:rPr>
              <w:t>日</w:t>
            </w:r>
            <w:r w:rsidRPr="00C42D29">
              <w:rPr>
                <w:sz w:val="16"/>
                <w:szCs w:val="16"/>
              </w:rPr>
              <w:t>2</w:t>
            </w:r>
            <w:r w:rsidRPr="00C42D29">
              <w:rPr>
                <w:rFonts w:ascii="ＭＳ 明朝" w:hAnsi="ＭＳ 明朝" w:hint="eastAsia"/>
                <w:sz w:val="16"/>
                <w:szCs w:val="16"/>
              </w:rPr>
              <w:t>～</w:t>
            </w:r>
            <w:r w:rsidRPr="00C42D29">
              <w:rPr>
                <w:sz w:val="16"/>
                <w:szCs w:val="16"/>
              </w:rPr>
              <w:t>3</w:t>
            </w:r>
            <w:r w:rsidRPr="00C42D29">
              <w:rPr>
                <w:rFonts w:ascii="ＭＳ 明朝" w:hAnsi="ＭＳ 明朝" w:hint="eastAsia"/>
                <w:sz w:val="16"/>
                <w:szCs w:val="16"/>
              </w:rPr>
              <w:t>回に分割して食直前又は食後に経口投与する。維持量は効果を観察しながら決めるが、通常</w:t>
            </w:r>
            <w:r w:rsidRPr="00C42D29">
              <w:rPr>
                <w:sz w:val="16"/>
                <w:szCs w:val="16"/>
              </w:rPr>
              <w:t>1</w:t>
            </w:r>
            <w:r w:rsidRPr="00C42D29">
              <w:rPr>
                <w:rFonts w:ascii="ＭＳ 明朝" w:hAnsi="ＭＳ 明朝" w:hint="eastAsia"/>
                <w:sz w:val="16"/>
                <w:szCs w:val="16"/>
              </w:rPr>
              <w:t>日</w:t>
            </w:r>
            <w:r w:rsidRPr="00C42D29">
              <w:rPr>
                <w:sz w:val="16"/>
                <w:szCs w:val="16"/>
              </w:rPr>
              <w:t>750</w:t>
            </w:r>
            <w:r w:rsidRPr="00C42D29">
              <w:rPr>
                <w:rFonts w:ascii="ＭＳ 明朝" w:hAnsi="ＭＳ 明朝" w:hint="eastAsia"/>
                <w:sz w:val="16"/>
                <w:szCs w:val="16"/>
              </w:rPr>
              <w:t>～</w:t>
            </w:r>
            <w:r w:rsidRPr="00C42D29">
              <w:rPr>
                <w:sz w:val="16"/>
                <w:szCs w:val="16"/>
              </w:rPr>
              <w:t>1,500mg</w:t>
            </w:r>
            <w:r w:rsidRPr="00C42D29">
              <w:rPr>
                <w:rFonts w:ascii="ＭＳ 明朝" w:hAnsi="ＭＳ 明朝" w:hint="eastAsia"/>
                <w:sz w:val="16"/>
                <w:szCs w:val="16"/>
              </w:rPr>
              <w:t>とする。なお、患者の状態により適宜増減するが、</w:t>
            </w:r>
            <w:r w:rsidRPr="00C42D29">
              <w:rPr>
                <w:sz w:val="16"/>
                <w:szCs w:val="16"/>
              </w:rPr>
              <w:t>1</w:t>
            </w:r>
            <w:r w:rsidRPr="00C42D29">
              <w:rPr>
                <w:rFonts w:ascii="ＭＳ 明朝" w:hAnsi="ＭＳ 明朝" w:hint="eastAsia"/>
                <w:sz w:val="16"/>
                <w:szCs w:val="16"/>
              </w:rPr>
              <w:t>日最高</w:t>
            </w:r>
            <w:r w:rsidR="0097570D" w:rsidRPr="00C42D29">
              <w:rPr>
                <w:rFonts w:ascii="ＭＳ 明朝" w:hAnsi="ＭＳ 明朝" w:hint="eastAsia"/>
                <w:sz w:val="16"/>
                <w:szCs w:val="16"/>
              </w:rPr>
              <w:t>投与</w:t>
            </w:r>
            <w:r w:rsidRPr="00C42D29">
              <w:rPr>
                <w:rFonts w:ascii="ＭＳ 明朝" w:hAnsi="ＭＳ 明朝" w:hint="eastAsia"/>
                <w:sz w:val="16"/>
                <w:szCs w:val="16"/>
              </w:rPr>
              <w:t>量は</w:t>
            </w:r>
            <w:r w:rsidRPr="00C42D29">
              <w:rPr>
                <w:sz w:val="16"/>
                <w:szCs w:val="16"/>
              </w:rPr>
              <w:t>2,250mg</w:t>
            </w:r>
            <w:r w:rsidRPr="00C42D29">
              <w:rPr>
                <w:rFonts w:ascii="ＭＳ 明朝" w:hAnsi="ＭＳ 明朝" w:hint="eastAsia"/>
                <w:sz w:val="16"/>
                <w:szCs w:val="16"/>
              </w:rPr>
              <w:t>までとする。</w:t>
            </w:r>
          </w:p>
          <w:p w14:paraId="3B3DBE56" w14:textId="77777777" w:rsidR="002E63E2" w:rsidRPr="00C42D29" w:rsidRDefault="002E63E2" w:rsidP="002E63E2">
            <w:pPr>
              <w:ind w:firstLineChars="1" w:firstLine="2"/>
              <w:jc w:val="both"/>
              <w:rPr>
                <w:rFonts w:ascii="ＭＳ 明朝" w:hAnsi="ＭＳ 明朝"/>
                <w:sz w:val="16"/>
                <w:szCs w:val="16"/>
              </w:rPr>
            </w:pPr>
            <w:r w:rsidRPr="00C42D29">
              <w:rPr>
                <w:rFonts w:ascii="ＭＳ 明朝" w:hAnsi="ＭＳ 明朝" w:hint="eastAsia"/>
                <w:sz w:val="16"/>
                <w:szCs w:val="16"/>
              </w:rPr>
              <w:t>通常、</w:t>
            </w:r>
            <w:r w:rsidRPr="00C42D29">
              <w:rPr>
                <w:sz w:val="16"/>
                <w:szCs w:val="16"/>
              </w:rPr>
              <w:t>10</w:t>
            </w:r>
            <w:r w:rsidRPr="00C42D29">
              <w:rPr>
                <w:rFonts w:ascii="ＭＳ 明朝" w:hAnsi="ＭＳ 明朝" w:hint="eastAsia"/>
                <w:sz w:val="16"/>
                <w:szCs w:val="16"/>
              </w:rPr>
              <w:t>歳以上の小児にはメトホルミン塩酸塩として</w:t>
            </w:r>
            <w:r w:rsidRPr="00C42D29">
              <w:rPr>
                <w:sz w:val="16"/>
                <w:szCs w:val="16"/>
              </w:rPr>
              <w:t>1</w:t>
            </w:r>
            <w:r w:rsidRPr="00C42D29">
              <w:rPr>
                <w:rFonts w:ascii="ＭＳ 明朝" w:hAnsi="ＭＳ 明朝" w:hint="eastAsia"/>
                <w:sz w:val="16"/>
                <w:szCs w:val="16"/>
              </w:rPr>
              <w:t>日</w:t>
            </w:r>
            <w:r w:rsidRPr="00C42D29">
              <w:rPr>
                <w:sz w:val="16"/>
                <w:szCs w:val="16"/>
              </w:rPr>
              <w:t>500mg</w:t>
            </w:r>
            <w:r w:rsidRPr="00C42D29">
              <w:rPr>
                <w:rFonts w:ascii="ＭＳ 明朝" w:hAnsi="ＭＳ 明朝" w:hint="eastAsia"/>
                <w:sz w:val="16"/>
                <w:szCs w:val="16"/>
              </w:rPr>
              <w:t>より開始し、</w:t>
            </w:r>
            <w:r w:rsidRPr="00C42D29">
              <w:rPr>
                <w:sz w:val="16"/>
                <w:szCs w:val="16"/>
              </w:rPr>
              <w:t>1</w:t>
            </w:r>
            <w:r w:rsidRPr="00C42D29">
              <w:rPr>
                <w:rFonts w:ascii="ＭＳ 明朝" w:hAnsi="ＭＳ 明朝" w:hint="eastAsia"/>
                <w:sz w:val="16"/>
                <w:szCs w:val="16"/>
              </w:rPr>
              <w:t>日</w:t>
            </w:r>
            <w:r w:rsidRPr="00C42D29">
              <w:rPr>
                <w:sz w:val="16"/>
                <w:szCs w:val="16"/>
              </w:rPr>
              <w:t>2</w:t>
            </w:r>
            <w:r w:rsidRPr="00C42D29">
              <w:rPr>
                <w:rFonts w:ascii="ＭＳ 明朝" w:hAnsi="ＭＳ 明朝" w:hint="eastAsia"/>
                <w:sz w:val="16"/>
                <w:szCs w:val="16"/>
              </w:rPr>
              <w:t>～</w:t>
            </w:r>
            <w:r w:rsidRPr="00C42D29">
              <w:rPr>
                <w:sz w:val="16"/>
                <w:szCs w:val="16"/>
              </w:rPr>
              <w:t>3</w:t>
            </w:r>
            <w:r w:rsidRPr="00C42D29">
              <w:rPr>
                <w:rFonts w:ascii="ＭＳ 明朝" w:hAnsi="ＭＳ 明朝" w:hint="eastAsia"/>
                <w:sz w:val="16"/>
                <w:szCs w:val="16"/>
              </w:rPr>
              <w:t>回に分割して食直前又は食後に経口投与する。維持量は効果を観察しながら決めるが、通常</w:t>
            </w:r>
            <w:r w:rsidRPr="00C42D29">
              <w:rPr>
                <w:sz w:val="16"/>
                <w:szCs w:val="16"/>
              </w:rPr>
              <w:t>1</w:t>
            </w:r>
            <w:r w:rsidRPr="00C42D29">
              <w:rPr>
                <w:rFonts w:ascii="ＭＳ 明朝" w:hAnsi="ＭＳ 明朝" w:hint="eastAsia"/>
                <w:sz w:val="16"/>
                <w:szCs w:val="16"/>
              </w:rPr>
              <w:t>日</w:t>
            </w:r>
            <w:r w:rsidRPr="00C42D29">
              <w:rPr>
                <w:sz w:val="16"/>
                <w:szCs w:val="16"/>
              </w:rPr>
              <w:t>5</w:t>
            </w:r>
            <w:r w:rsidRPr="00C42D29">
              <w:rPr>
                <w:rFonts w:hint="eastAsia"/>
                <w:sz w:val="16"/>
                <w:szCs w:val="16"/>
              </w:rPr>
              <w:t>0</w:t>
            </w:r>
            <w:r w:rsidRPr="00C42D29">
              <w:rPr>
                <w:sz w:val="16"/>
                <w:szCs w:val="16"/>
              </w:rPr>
              <w:t>0</w:t>
            </w:r>
            <w:r w:rsidRPr="00C42D29">
              <w:rPr>
                <w:rFonts w:ascii="ＭＳ 明朝" w:hAnsi="ＭＳ 明朝" w:hint="eastAsia"/>
                <w:sz w:val="16"/>
                <w:szCs w:val="16"/>
              </w:rPr>
              <w:t>～</w:t>
            </w:r>
            <w:r w:rsidRPr="00C42D29">
              <w:rPr>
                <w:sz w:val="16"/>
                <w:szCs w:val="16"/>
              </w:rPr>
              <w:t>1,500mg</w:t>
            </w:r>
            <w:r w:rsidRPr="00C42D29">
              <w:rPr>
                <w:rFonts w:ascii="ＭＳ 明朝" w:hAnsi="ＭＳ 明朝" w:hint="eastAsia"/>
                <w:sz w:val="16"/>
                <w:szCs w:val="16"/>
              </w:rPr>
              <w:t>とする。なお、患者の状態により適宜増減するが、</w:t>
            </w:r>
            <w:r w:rsidRPr="00C42D29">
              <w:rPr>
                <w:sz w:val="16"/>
                <w:szCs w:val="16"/>
              </w:rPr>
              <w:t>1</w:t>
            </w:r>
            <w:r w:rsidRPr="00C42D29">
              <w:rPr>
                <w:rFonts w:ascii="ＭＳ 明朝" w:hAnsi="ＭＳ 明朝" w:hint="eastAsia"/>
                <w:sz w:val="16"/>
                <w:szCs w:val="16"/>
              </w:rPr>
              <w:t>日最高</w:t>
            </w:r>
            <w:r w:rsidR="0097570D" w:rsidRPr="00C42D29">
              <w:rPr>
                <w:rFonts w:ascii="ＭＳ 明朝" w:hAnsi="ＭＳ 明朝" w:hint="eastAsia"/>
                <w:sz w:val="16"/>
                <w:szCs w:val="16"/>
              </w:rPr>
              <w:t>投与</w:t>
            </w:r>
            <w:r w:rsidRPr="00C42D29">
              <w:rPr>
                <w:rFonts w:ascii="ＭＳ 明朝" w:hAnsi="ＭＳ 明朝" w:hint="eastAsia"/>
                <w:sz w:val="16"/>
                <w:szCs w:val="16"/>
              </w:rPr>
              <w:t>量は</w:t>
            </w:r>
            <w:r w:rsidRPr="00C42D29">
              <w:rPr>
                <w:sz w:val="16"/>
                <w:szCs w:val="16"/>
              </w:rPr>
              <w:t>2,</w:t>
            </w:r>
            <w:r w:rsidRPr="00C42D29">
              <w:rPr>
                <w:rFonts w:hint="eastAsia"/>
                <w:sz w:val="16"/>
                <w:szCs w:val="16"/>
              </w:rPr>
              <w:t>00</w:t>
            </w:r>
            <w:r w:rsidRPr="00C42D29">
              <w:rPr>
                <w:sz w:val="16"/>
                <w:szCs w:val="16"/>
              </w:rPr>
              <w:t>0mg</w:t>
            </w:r>
            <w:r w:rsidRPr="00C42D29">
              <w:rPr>
                <w:rFonts w:ascii="ＭＳ 明朝" w:hAnsi="ＭＳ 明朝" w:hint="eastAsia"/>
                <w:sz w:val="16"/>
                <w:szCs w:val="16"/>
              </w:rPr>
              <w:t>までとする。</w:t>
            </w:r>
          </w:p>
          <w:p w14:paraId="4ABBCA46" w14:textId="77777777" w:rsidR="0097570D" w:rsidRPr="00C42D29" w:rsidRDefault="0097570D" w:rsidP="0097570D">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〈多嚢胞性卵巣症候群における排卵誘発〉</w:t>
            </w:r>
          </w:p>
          <w:p w14:paraId="214BC1E3" w14:textId="77777777" w:rsidR="0097570D" w:rsidRPr="00C42D29" w:rsidRDefault="0097570D" w:rsidP="0097570D">
            <w:pPr>
              <w:ind w:firstLineChars="1" w:firstLine="2"/>
              <w:jc w:val="both"/>
              <w:rPr>
                <w:rFonts w:ascii="ＭＳ 明朝" w:hAnsi="ＭＳ 明朝"/>
                <w:sz w:val="16"/>
                <w:szCs w:val="16"/>
              </w:rPr>
            </w:pPr>
            <w:r w:rsidRPr="00C42D29">
              <w:rPr>
                <w:rFonts w:ascii="ＭＳ 明朝" w:hAnsi="ＭＳ 明朝" w:hint="eastAsia"/>
                <w:sz w:val="16"/>
                <w:szCs w:val="16"/>
              </w:rPr>
              <w:t>他の排卵誘発薬との併用で、通常、メトホルミン塩酸塩として500mgの1日1回経口投与より開始する。患者の忍容性を確認しながら増量し、1日投与量として1,500mgを超えない範囲で、1日2～3回に分割して経口投与する。なお、本剤は排卵までに中止する。</w:t>
            </w:r>
          </w:p>
          <w:p w14:paraId="7259EEDD" w14:textId="77777777" w:rsidR="0097570D" w:rsidRPr="00C42D29" w:rsidRDefault="0097570D" w:rsidP="0097570D">
            <w:pPr>
              <w:ind w:firstLineChars="1" w:firstLine="2"/>
              <w:jc w:val="both"/>
              <w:rPr>
                <w:rFonts w:ascii="Arial" w:eastAsia="ＭＳ ゴシック" w:hAnsi="Arial" w:cs="Arial"/>
                <w:sz w:val="16"/>
                <w:szCs w:val="16"/>
              </w:rPr>
            </w:pPr>
            <w:r w:rsidRPr="00C42D29">
              <w:rPr>
                <w:rFonts w:ascii="Arial" w:eastAsia="ＭＳ ゴシック" w:hAnsi="Arial" w:cs="Arial"/>
                <w:sz w:val="16"/>
                <w:szCs w:val="16"/>
              </w:rPr>
              <w:t>〈多嚢胞性卵巣症候群の生殖補助医療における調節卵巣刺激〉</w:t>
            </w:r>
          </w:p>
          <w:p w14:paraId="7F2D8679" w14:textId="77777777" w:rsidR="0097570D" w:rsidRPr="00C42D29" w:rsidRDefault="0097570D" w:rsidP="00C42D29">
            <w:pPr>
              <w:ind w:firstLineChars="1" w:firstLine="2"/>
              <w:jc w:val="both"/>
              <w:rPr>
                <w:rFonts w:ascii="ＭＳ 明朝" w:hAnsi="ＭＳ 明朝"/>
                <w:sz w:val="18"/>
                <w:szCs w:val="18"/>
              </w:rPr>
            </w:pPr>
            <w:r w:rsidRPr="00C42D29">
              <w:rPr>
                <w:rFonts w:ascii="ＭＳ 明朝" w:hAnsi="ＭＳ 明朝" w:hint="eastAsia"/>
                <w:sz w:val="16"/>
                <w:szCs w:val="16"/>
              </w:rPr>
              <w:t>他の卵巣刺激薬との併用で、通常、メトホルミン塩酸塩として500mgの1日1回経口投与より開始する。患者の忍容性を確認しながら増量し、1日投与量として1,500mgを超えない範囲で、1日2～3回に分割して経口投与する。なお、本剤は採卵までに中止する。</w:t>
            </w:r>
          </w:p>
        </w:tc>
      </w:tr>
      <w:tr w:rsidR="002E63E2" w14:paraId="5CEDE0C7" w14:textId="77777777" w:rsidTr="00C42D29">
        <w:trPr>
          <w:trHeight w:val="20"/>
        </w:trPr>
        <w:tc>
          <w:tcPr>
            <w:tcW w:w="1704" w:type="dxa"/>
            <w:tcBorders>
              <w:bottom w:val="single" w:sz="4" w:space="0" w:color="auto"/>
            </w:tcBorders>
            <w:vAlign w:val="center"/>
          </w:tcPr>
          <w:p w14:paraId="0412128B"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445E13FF" w14:textId="77777777" w:rsidR="002E63E2" w:rsidRPr="00E84C9D" w:rsidRDefault="002E63E2" w:rsidP="002E63E2">
            <w:pPr>
              <w:ind w:firstLine="1"/>
              <w:rPr>
                <w:sz w:val="18"/>
                <w:szCs w:val="18"/>
              </w:rPr>
            </w:pPr>
            <w:r w:rsidRPr="00E84C9D">
              <w:rPr>
                <w:rFonts w:hint="eastAsia"/>
                <w:sz w:val="18"/>
                <w:szCs w:val="18"/>
              </w:rPr>
              <w:t>白色～帯黄白色の割線入り</w:t>
            </w:r>
            <w:r>
              <w:rPr>
                <w:rFonts w:hint="eastAsia"/>
                <w:sz w:val="18"/>
                <w:szCs w:val="18"/>
              </w:rPr>
              <w:t>フィルムコーティング</w:t>
            </w:r>
            <w:r w:rsidRPr="00E84C9D">
              <w:rPr>
                <w:rFonts w:hint="eastAsia"/>
                <w:sz w:val="18"/>
                <w:szCs w:val="18"/>
              </w:rPr>
              <w:t>錠</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43"/>
              <w:gridCol w:w="921"/>
              <w:gridCol w:w="964"/>
              <w:gridCol w:w="1240"/>
              <w:gridCol w:w="7"/>
            </w:tblGrid>
            <w:tr w:rsidR="002E63E2" w:rsidRPr="003751DB" w14:paraId="21E78E8A" w14:textId="77777777" w:rsidTr="00C42D29">
              <w:trPr>
                <w:trHeight w:val="257"/>
              </w:trPr>
              <w:tc>
                <w:tcPr>
                  <w:tcW w:w="964" w:type="dxa"/>
                  <w:shd w:val="clear" w:color="auto" w:fill="auto"/>
                  <w:vAlign w:val="center"/>
                </w:tcPr>
                <w:p w14:paraId="6831EBA3"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4" w:type="dxa"/>
                  <w:gridSpan w:val="2"/>
                  <w:shd w:val="clear" w:color="auto" w:fill="auto"/>
                  <w:vAlign w:val="center"/>
                </w:tcPr>
                <w:p w14:paraId="5E29A96D"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4" w:type="dxa"/>
                  <w:shd w:val="clear" w:color="auto" w:fill="auto"/>
                  <w:vAlign w:val="center"/>
                </w:tcPr>
                <w:p w14:paraId="7F5592EF" w14:textId="77777777" w:rsidR="002E63E2" w:rsidRPr="00046BCC" w:rsidRDefault="002E63E2" w:rsidP="002E63E2">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47" w:type="dxa"/>
                  <w:gridSpan w:val="2"/>
                  <w:vMerge w:val="restart"/>
                  <w:tcBorders>
                    <w:top w:val="single" w:sz="4" w:space="0" w:color="FFFFFF"/>
                    <w:bottom w:val="single" w:sz="4" w:space="0" w:color="FFFFFF"/>
                    <w:right w:val="single" w:sz="4" w:space="0" w:color="FFFFFF"/>
                  </w:tcBorders>
                  <w:shd w:val="clear" w:color="auto" w:fill="auto"/>
                  <w:tcMar>
                    <w:left w:w="17" w:type="dxa"/>
                    <w:right w:w="0" w:type="dxa"/>
                  </w:tcMar>
                </w:tcPr>
                <w:p w14:paraId="10F2E0F3" w14:textId="77777777" w:rsidR="002E63E2" w:rsidRPr="004921A5" w:rsidRDefault="00C42D29" w:rsidP="002E63E2">
                  <w:pPr>
                    <w:jc w:val="both"/>
                    <w:rPr>
                      <w:sz w:val="18"/>
                      <w:szCs w:val="18"/>
                    </w:rPr>
                  </w:pPr>
                  <w:r>
                    <w:rPr>
                      <w:rFonts w:hint="eastAsia"/>
                      <w:sz w:val="18"/>
                      <w:szCs w:val="18"/>
                    </w:rPr>
                    <w:t>大きさ</w:t>
                  </w:r>
                  <w:r w:rsidR="002E63E2" w:rsidRPr="004921A5">
                    <w:rPr>
                      <w:rFonts w:hint="eastAsia"/>
                      <w:sz w:val="18"/>
                      <w:szCs w:val="18"/>
                    </w:rPr>
                    <w:t>：</w:t>
                  </w:r>
                  <w:r w:rsidR="002E63E2">
                    <w:rPr>
                      <w:rFonts w:hint="eastAsia"/>
                      <w:sz w:val="18"/>
                      <w:szCs w:val="18"/>
                    </w:rPr>
                    <w:t>9</w:t>
                  </w:r>
                  <w:r w:rsidR="002E63E2" w:rsidRPr="004921A5">
                    <w:rPr>
                      <w:rFonts w:hint="eastAsia"/>
                      <w:sz w:val="18"/>
                      <w:szCs w:val="18"/>
                    </w:rPr>
                    <w:t>.1mm</w:t>
                  </w:r>
                </w:p>
                <w:p w14:paraId="50AC8326" w14:textId="77777777" w:rsidR="002E63E2" w:rsidRPr="004921A5" w:rsidRDefault="002E63E2" w:rsidP="002E63E2">
                  <w:pPr>
                    <w:jc w:val="both"/>
                    <w:rPr>
                      <w:sz w:val="18"/>
                      <w:szCs w:val="18"/>
                    </w:rPr>
                  </w:pPr>
                  <w:r w:rsidRPr="004921A5">
                    <w:rPr>
                      <w:rFonts w:hint="eastAsia"/>
                      <w:sz w:val="18"/>
                      <w:szCs w:val="18"/>
                    </w:rPr>
                    <w:t>厚さ：</w:t>
                  </w:r>
                  <w:r>
                    <w:rPr>
                      <w:rFonts w:hint="eastAsia"/>
                      <w:sz w:val="18"/>
                      <w:szCs w:val="18"/>
                    </w:rPr>
                    <w:t>4.3</w:t>
                  </w:r>
                  <w:r w:rsidRPr="004921A5">
                    <w:rPr>
                      <w:rFonts w:hint="eastAsia"/>
                      <w:sz w:val="18"/>
                      <w:szCs w:val="18"/>
                    </w:rPr>
                    <w:t>mm</w:t>
                  </w:r>
                </w:p>
                <w:p w14:paraId="05301D7A" w14:textId="77777777" w:rsidR="002E63E2" w:rsidRPr="003751DB" w:rsidRDefault="002E63E2" w:rsidP="002E63E2">
                  <w:pPr>
                    <w:jc w:val="both"/>
                    <w:rPr>
                      <w:color w:val="FF0000"/>
                    </w:rPr>
                  </w:pPr>
                  <w:r w:rsidRPr="004921A5">
                    <w:rPr>
                      <w:rFonts w:hint="eastAsia"/>
                      <w:sz w:val="18"/>
                      <w:szCs w:val="18"/>
                    </w:rPr>
                    <w:t>重量：</w:t>
                  </w:r>
                  <w:r>
                    <w:rPr>
                      <w:rFonts w:hint="eastAsia"/>
                      <w:sz w:val="18"/>
                      <w:szCs w:val="18"/>
                    </w:rPr>
                    <w:t>282</w:t>
                  </w:r>
                  <w:r w:rsidRPr="004921A5">
                    <w:rPr>
                      <w:rFonts w:hint="eastAsia"/>
                      <w:sz w:val="18"/>
                      <w:szCs w:val="18"/>
                    </w:rPr>
                    <w:t>mg</w:t>
                  </w:r>
                </w:p>
              </w:tc>
            </w:tr>
            <w:tr w:rsidR="002E63E2" w:rsidRPr="003751DB" w14:paraId="18D36F72" w14:textId="77777777" w:rsidTr="00C42D29">
              <w:trPr>
                <w:trHeight w:hRule="exact" w:val="1021"/>
              </w:trPr>
              <w:tc>
                <w:tcPr>
                  <w:tcW w:w="964" w:type="dxa"/>
                  <w:shd w:val="clear" w:color="auto" w:fill="auto"/>
                  <w:tcMar>
                    <w:left w:w="20" w:type="dxa"/>
                    <w:right w:w="20" w:type="dxa"/>
                  </w:tcMar>
                  <w:vAlign w:val="center"/>
                </w:tcPr>
                <w:p w14:paraId="4B5406F8" w14:textId="452E99D6" w:rsidR="002E63E2" w:rsidRPr="00A565FC" w:rsidRDefault="001A6BF2" w:rsidP="002E63E2">
                  <w:pPr>
                    <w:ind w:leftChars="-18" w:rightChars="-17" w:right="-33" w:hangingChars="18" w:hanging="34"/>
                    <w:jc w:val="center"/>
                  </w:pPr>
                  <w:r>
                    <w:rPr>
                      <w:noProof/>
                    </w:rPr>
                    <w:drawing>
                      <wp:inline distT="0" distB="0" distL="0" distR="0" wp14:anchorId="2A842E10" wp14:editId="0810425F">
                        <wp:extent cx="600075"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2" r="76915"/>
                                <a:stretch>
                                  <a:fillRect/>
                                </a:stretch>
                              </pic:blipFill>
                              <pic:spPr bwMode="auto">
                                <a:xfrm>
                                  <a:off x="0" y="0"/>
                                  <a:ext cx="600075" cy="609600"/>
                                </a:xfrm>
                                <a:prstGeom prst="rect">
                                  <a:avLst/>
                                </a:prstGeom>
                                <a:noFill/>
                                <a:ln>
                                  <a:noFill/>
                                </a:ln>
                                <a:effectLst/>
                              </pic:spPr>
                            </pic:pic>
                          </a:graphicData>
                        </a:graphic>
                      </wp:inline>
                    </w:drawing>
                  </w:r>
                </w:p>
              </w:tc>
              <w:tc>
                <w:tcPr>
                  <w:tcW w:w="964" w:type="dxa"/>
                  <w:gridSpan w:val="2"/>
                  <w:shd w:val="clear" w:color="auto" w:fill="auto"/>
                  <w:vAlign w:val="center"/>
                </w:tcPr>
                <w:p w14:paraId="719C32D4" w14:textId="3D8C912A" w:rsidR="002E63E2" w:rsidRPr="00A565FC" w:rsidRDefault="001A6BF2" w:rsidP="002E63E2">
                  <w:pPr>
                    <w:ind w:leftChars="-58" w:left="-4" w:rightChars="-56" w:right="-107" w:hangingChars="56" w:hanging="107"/>
                    <w:jc w:val="center"/>
                  </w:pPr>
                  <w:r>
                    <w:rPr>
                      <w:noProof/>
                    </w:rPr>
                    <w:drawing>
                      <wp:inline distT="0" distB="0" distL="0" distR="0" wp14:anchorId="2BE7E4A5" wp14:editId="147282CA">
                        <wp:extent cx="600075"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8618" r="38623"/>
                                <a:stretch>
                                  <a:fillRect/>
                                </a:stretch>
                              </pic:blipFill>
                              <pic:spPr bwMode="auto">
                                <a:xfrm>
                                  <a:off x="0" y="0"/>
                                  <a:ext cx="600075" cy="609600"/>
                                </a:xfrm>
                                <a:prstGeom prst="rect">
                                  <a:avLst/>
                                </a:prstGeom>
                                <a:noFill/>
                                <a:ln>
                                  <a:noFill/>
                                </a:ln>
                                <a:effectLst/>
                              </pic:spPr>
                            </pic:pic>
                          </a:graphicData>
                        </a:graphic>
                      </wp:inline>
                    </w:drawing>
                  </w:r>
                </w:p>
              </w:tc>
              <w:tc>
                <w:tcPr>
                  <w:tcW w:w="964" w:type="dxa"/>
                  <w:shd w:val="clear" w:color="auto" w:fill="auto"/>
                  <w:vAlign w:val="center"/>
                </w:tcPr>
                <w:p w14:paraId="1056EDF3" w14:textId="49D8F001" w:rsidR="002E63E2" w:rsidRPr="00A565FC" w:rsidRDefault="001A6BF2" w:rsidP="002E63E2">
                  <w:pPr>
                    <w:ind w:leftChars="-57" w:left="-6" w:rightChars="-56" w:right="-107" w:hangingChars="54" w:hanging="103"/>
                    <w:jc w:val="center"/>
                  </w:pPr>
                  <w:r>
                    <w:rPr>
                      <w:noProof/>
                    </w:rPr>
                    <w:drawing>
                      <wp:inline distT="0" distB="0" distL="0" distR="0" wp14:anchorId="7A3B56B2" wp14:editId="4B9B0097">
                        <wp:extent cx="600075"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6971"/>
                                <a:stretch>
                                  <a:fillRect/>
                                </a:stretch>
                              </pic:blipFill>
                              <pic:spPr bwMode="auto">
                                <a:xfrm>
                                  <a:off x="0" y="0"/>
                                  <a:ext cx="600075" cy="609600"/>
                                </a:xfrm>
                                <a:prstGeom prst="rect">
                                  <a:avLst/>
                                </a:prstGeom>
                                <a:noFill/>
                                <a:ln>
                                  <a:noFill/>
                                </a:ln>
                                <a:effectLst/>
                              </pic:spPr>
                            </pic:pic>
                          </a:graphicData>
                        </a:graphic>
                      </wp:inline>
                    </w:drawing>
                  </w:r>
                </w:p>
              </w:tc>
              <w:tc>
                <w:tcPr>
                  <w:tcW w:w="1247" w:type="dxa"/>
                  <w:gridSpan w:val="2"/>
                  <w:vMerge/>
                  <w:tcBorders>
                    <w:bottom w:val="single" w:sz="4" w:space="0" w:color="FFFFFF"/>
                    <w:right w:val="single" w:sz="4" w:space="0" w:color="FFFFFF"/>
                  </w:tcBorders>
                  <w:shd w:val="clear" w:color="auto" w:fill="auto"/>
                  <w:vAlign w:val="center"/>
                </w:tcPr>
                <w:p w14:paraId="71F32B5C" w14:textId="77777777" w:rsidR="002E63E2" w:rsidRPr="003751DB" w:rsidRDefault="002E63E2" w:rsidP="002E63E2">
                  <w:pPr>
                    <w:rPr>
                      <w:color w:val="FF0000"/>
                    </w:rPr>
                  </w:pPr>
                </w:p>
              </w:tc>
            </w:tr>
            <w:tr w:rsidR="002E63E2" w:rsidRPr="004A035A" w14:paraId="40989CF6" w14:textId="77777777" w:rsidTr="00C42D29">
              <w:trPr>
                <w:gridAfter w:val="1"/>
                <w:wAfter w:w="7" w:type="dxa"/>
                <w:trHeight w:hRule="exact" w:val="340"/>
              </w:trPr>
              <w:tc>
                <w:tcPr>
                  <w:tcW w:w="100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267282F" w14:textId="77777777" w:rsidR="002E63E2" w:rsidRPr="004921A5" w:rsidRDefault="002E63E2" w:rsidP="002E63E2">
                  <w:pPr>
                    <w:spacing w:beforeLines="25" w:before="73"/>
                    <w:ind w:left="-57" w:right="-57" w:firstLineChars="42" w:firstLine="72"/>
                    <w:rPr>
                      <w:noProof/>
                      <w:sz w:val="18"/>
                      <w:szCs w:val="18"/>
                    </w:rPr>
                  </w:pPr>
                  <w:r w:rsidRPr="004921A5">
                    <w:rPr>
                      <w:rFonts w:hint="eastAsia"/>
                      <w:noProof/>
                      <w:sz w:val="18"/>
                      <w:szCs w:val="18"/>
                    </w:rPr>
                    <w:t>識別コード：</w:t>
                  </w:r>
                </w:p>
              </w:tc>
              <w:tc>
                <w:tcPr>
                  <w:tcW w:w="312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A7D364A" w14:textId="77777777" w:rsidR="002E63E2" w:rsidRPr="004921A5" w:rsidRDefault="002E63E2" w:rsidP="002E63E2">
                  <w:pPr>
                    <w:spacing w:beforeLines="25" w:before="73"/>
                    <w:rPr>
                      <w:sz w:val="18"/>
                      <w:szCs w:val="18"/>
                    </w:rPr>
                  </w:pPr>
                  <w:r w:rsidRPr="004921A5">
                    <w:rPr>
                      <w:rFonts w:hint="eastAsia"/>
                      <w:sz w:val="18"/>
                      <w:szCs w:val="18"/>
                    </w:rPr>
                    <w:t xml:space="preserve">メトホルミン　</w:t>
                  </w:r>
                  <w:r w:rsidR="00C42D29">
                    <w:rPr>
                      <w:rFonts w:hint="eastAsia"/>
                      <w:sz w:val="18"/>
                      <w:szCs w:val="18"/>
                    </w:rPr>
                    <w:t>DSEP</w:t>
                  </w:r>
                  <w:r w:rsidR="00C42D29">
                    <w:rPr>
                      <w:rFonts w:hint="eastAsia"/>
                      <w:sz w:val="18"/>
                      <w:szCs w:val="18"/>
                    </w:rPr>
                    <w:t xml:space="preserve">　</w:t>
                  </w:r>
                  <w:r w:rsidRPr="004921A5">
                    <w:rPr>
                      <w:rFonts w:hint="eastAsia"/>
                      <w:sz w:val="18"/>
                      <w:szCs w:val="18"/>
                    </w:rPr>
                    <w:t>250</w:t>
                  </w:r>
                  <w:r w:rsidRPr="004921A5">
                    <w:rPr>
                      <w:rFonts w:hint="eastAsia"/>
                      <w:sz w:val="18"/>
                      <w:szCs w:val="18"/>
                    </w:rPr>
                    <w:t xml:space="preserve">　</w:t>
                  </w:r>
                  <w:r w:rsidRPr="004921A5">
                    <w:rPr>
                      <w:rFonts w:hint="eastAsia"/>
                      <w:sz w:val="18"/>
                      <w:szCs w:val="18"/>
                    </w:rPr>
                    <w:t>MT</w:t>
                  </w:r>
                </w:p>
              </w:tc>
            </w:tr>
          </w:tbl>
          <w:p w14:paraId="39CA5F50" w14:textId="77777777" w:rsidR="002E63E2" w:rsidRPr="003751DB" w:rsidRDefault="002E63E2" w:rsidP="002E63E2">
            <w:pPr>
              <w:rPr>
                <w:rFonts w:ascii="ＭＳ 明朝" w:hAnsi="ＭＳ 明朝"/>
              </w:rPr>
            </w:pPr>
          </w:p>
        </w:tc>
        <w:tc>
          <w:tcPr>
            <w:tcW w:w="4215" w:type="dxa"/>
            <w:tcBorders>
              <w:bottom w:val="single" w:sz="4" w:space="0" w:color="auto"/>
            </w:tcBorders>
            <w:tcMar>
              <w:top w:w="28" w:type="dxa"/>
              <w:bottom w:w="28" w:type="dxa"/>
            </w:tcMar>
          </w:tcPr>
          <w:p w14:paraId="23B740A7" w14:textId="77777777" w:rsidR="002E63E2" w:rsidRPr="00E84C9D" w:rsidRDefault="002E63E2" w:rsidP="002E63E2">
            <w:pPr>
              <w:ind w:firstLine="1"/>
              <w:rPr>
                <w:sz w:val="18"/>
                <w:szCs w:val="18"/>
              </w:rPr>
            </w:pPr>
            <w:r w:rsidRPr="00E84C9D">
              <w:rPr>
                <w:rFonts w:hint="eastAsia"/>
                <w:sz w:val="18"/>
                <w:szCs w:val="18"/>
              </w:rPr>
              <w:t>白色～帯黄白色の割線入りフィルムコート錠</w:t>
            </w:r>
          </w:p>
          <w:p w14:paraId="4838102C" w14:textId="77777777" w:rsidR="002E63E2" w:rsidRPr="00377ED3" w:rsidRDefault="002E63E2" w:rsidP="002E63E2">
            <w:pPr>
              <w:rPr>
                <w:sz w:val="18"/>
                <w:szCs w:val="18"/>
              </w:rPr>
            </w:pPr>
            <w:r w:rsidRPr="00377ED3">
              <w:rPr>
                <w:rFonts w:hint="eastAsia"/>
                <w:sz w:val="18"/>
                <w:szCs w:val="18"/>
              </w:rPr>
              <w:t>直径：</w:t>
            </w:r>
            <w:r>
              <w:rPr>
                <w:rFonts w:hint="eastAsia"/>
                <w:sz w:val="18"/>
                <w:szCs w:val="18"/>
              </w:rPr>
              <w:t>約</w:t>
            </w:r>
            <w:r w:rsidRPr="00377ED3">
              <w:rPr>
                <w:rFonts w:hint="eastAsia"/>
                <w:sz w:val="18"/>
                <w:szCs w:val="18"/>
              </w:rPr>
              <w:t>9.1mm</w:t>
            </w:r>
            <w:r w:rsidRPr="00377ED3">
              <w:rPr>
                <w:rFonts w:hint="eastAsia"/>
                <w:sz w:val="18"/>
                <w:szCs w:val="18"/>
              </w:rPr>
              <w:t xml:space="preserve">　</w:t>
            </w:r>
            <w:r w:rsidRPr="00377ED3">
              <w:rPr>
                <w:sz w:val="18"/>
                <w:szCs w:val="18"/>
              </w:rPr>
              <w:br/>
            </w:r>
            <w:r w:rsidRPr="00377ED3">
              <w:rPr>
                <w:rFonts w:hint="eastAsia"/>
                <w:sz w:val="18"/>
                <w:szCs w:val="18"/>
              </w:rPr>
              <w:t>厚さ：</w:t>
            </w:r>
            <w:r>
              <w:rPr>
                <w:rFonts w:hint="eastAsia"/>
                <w:sz w:val="18"/>
                <w:szCs w:val="18"/>
              </w:rPr>
              <w:t>約</w:t>
            </w:r>
            <w:r w:rsidRPr="00377ED3">
              <w:rPr>
                <w:rFonts w:hint="eastAsia"/>
                <w:sz w:val="18"/>
                <w:szCs w:val="18"/>
              </w:rPr>
              <w:t>4.</w:t>
            </w:r>
            <w:r w:rsidR="008C7E33">
              <w:rPr>
                <w:sz w:val="18"/>
                <w:szCs w:val="18"/>
              </w:rPr>
              <w:t>1</w:t>
            </w:r>
            <w:r w:rsidRPr="00377ED3">
              <w:rPr>
                <w:rFonts w:hint="eastAsia"/>
                <w:sz w:val="18"/>
                <w:szCs w:val="18"/>
              </w:rPr>
              <w:t>mm</w:t>
            </w:r>
            <w:r w:rsidRPr="00377ED3">
              <w:rPr>
                <w:rFonts w:hint="eastAsia"/>
                <w:sz w:val="18"/>
                <w:szCs w:val="18"/>
              </w:rPr>
              <w:t xml:space="preserve">　</w:t>
            </w:r>
            <w:r w:rsidRPr="00377ED3">
              <w:rPr>
                <w:sz w:val="18"/>
                <w:szCs w:val="18"/>
              </w:rPr>
              <w:br/>
            </w:r>
            <w:r w:rsidRPr="00377ED3">
              <w:rPr>
                <w:rFonts w:hint="eastAsia"/>
                <w:sz w:val="18"/>
                <w:szCs w:val="18"/>
              </w:rPr>
              <w:t>重量：</w:t>
            </w:r>
            <w:r>
              <w:rPr>
                <w:rFonts w:hint="eastAsia"/>
                <w:sz w:val="18"/>
                <w:szCs w:val="18"/>
              </w:rPr>
              <w:t>約</w:t>
            </w:r>
            <w:r w:rsidRPr="00377ED3">
              <w:rPr>
                <w:rFonts w:hint="eastAsia"/>
                <w:sz w:val="18"/>
                <w:szCs w:val="18"/>
              </w:rPr>
              <w:t>27</w:t>
            </w:r>
            <w:r w:rsidR="008C7E33">
              <w:rPr>
                <w:sz w:val="18"/>
                <w:szCs w:val="18"/>
              </w:rPr>
              <w:t>1</w:t>
            </w:r>
            <w:r w:rsidRPr="00377ED3">
              <w:rPr>
                <w:rFonts w:hint="eastAsia"/>
                <w:sz w:val="18"/>
                <w:szCs w:val="18"/>
              </w:rPr>
              <w:t>mg</w:t>
            </w:r>
            <w:r w:rsidRPr="00377ED3">
              <w:rPr>
                <w:rFonts w:hint="eastAsia"/>
                <w:sz w:val="18"/>
                <w:szCs w:val="18"/>
              </w:rPr>
              <w:t xml:space="preserve">　</w:t>
            </w:r>
            <w:r w:rsidRPr="00377ED3">
              <w:rPr>
                <w:sz w:val="18"/>
                <w:szCs w:val="18"/>
              </w:rPr>
              <w:br/>
            </w:r>
          </w:p>
          <w:p w14:paraId="29D14918" w14:textId="77777777" w:rsidR="002E63E2" w:rsidRPr="00C44F81" w:rsidRDefault="002E63E2" w:rsidP="002E63E2">
            <w:pPr>
              <w:rPr>
                <w:rFonts w:ascii="ＭＳ 明朝" w:hAnsi="ＭＳ 明朝"/>
                <w:szCs w:val="20"/>
              </w:rPr>
            </w:pPr>
          </w:p>
        </w:tc>
      </w:tr>
      <w:tr w:rsidR="002E63E2" w14:paraId="61893A61" w14:textId="77777777" w:rsidTr="00C42D29">
        <w:trPr>
          <w:trHeight w:val="20"/>
        </w:trPr>
        <w:tc>
          <w:tcPr>
            <w:tcW w:w="1704" w:type="dxa"/>
            <w:vAlign w:val="center"/>
          </w:tcPr>
          <w:p w14:paraId="7F963344"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先発品との</w:t>
            </w:r>
          </w:p>
          <w:p w14:paraId="4039B4D5" w14:textId="77777777" w:rsidR="002E63E2" w:rsidRPr="00075F31" w:rsidRDefault="002E63E2" w:rsidP="002E63E2">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00DB3669" w14:textId="77777777" w:rsidR="002E63E2" w:rsidRDefault="002E63E2" w:rsidP="002E63E2">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74C30440" w14:textId="2D55B9F7" w:rsidR="002E63E2" w:rsidRPr="003751DB" w:rsidRDefault="001A6BF2" w:rsidP="002E63E2">
            <w:pPr>
              <w:jc w:val="center"/>
              <w:rPr>
                <w:rFonts w:ascii="Arial" w:eastAsia="ＭＳ ゴシック" w:hAnsi="Arial"/>
                <w:sz w:val="16"/>
                <w:szCs w:val="16"/>
              </w:rPr>
            </w:pPr>
            <w:r>
              <w:rPr>
                <w:noProof/>
              </w:rPr>
              <w:drawing>
                <wp:anchor distT="0" distB="0" distL="114300" distR="114300" simplePos="0" relativeHeight="251657728" behindDoc="0" locked="0" layoutInCell="1" allowOverlap="1" wp14:anchorId="5179D2D0" wp14:editId="4CCC1052">
                  <wp:simplePos x="0" y="0"/>
                  <wp:positionH relativeFrom="column">
                    <wp:posOffset>4445</wp:posOffset>
                  </wp:positionH>
                  <wp:positionV relativeFrom="paragraph">
                    <wp:posOffset>1270</wp:posOffset>
                  </wp:positionV>
                  <wp:extent cx="2832735" cy="1920875"/>
                  <wp:effectExtent l="0" t="0" r="0" b="0"/>
                  <wp:wrapSquare wrapText="bothSides"/>
                  <wp:docPr id="597568272"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4" cstate="print">
                            <a:extLst>
                              <a:ext uri="{28A0092B-C50C-407E-A947-70E740481C1C}">
                                <a14:useLocalDpi xmlns:a14="http://schemas.microsoft.com/office/drawing/2010/main" val="0"/>
                              </a:ext>
                            </a:extLst>
                          </a:blip>
                          <a:srcRect b="-18"/>
                          <a:stretch>
                            <a:fillRect/>
                          </a:stretch>
                        </pic:blipFill>
                        <pic:spPr bwMode="auto">
                          <a:xfrm>
                            <a:off x="0" y="0"/>
                            <a:ext cx="2832735" cy="1920875"/>
                          </a:xfrm>
                          <a:prstGeom prst="rect">
                            <a:avLst/>
                          </a:prstGeom>
                          <a:noFill/>
                        </pic:spPr>
                      </pic:pic>
                    </a:graphicData>
                  </a:graphic>
                  <wp14:sizeRelH relativeFrom="page">
                    <wp14:pctWidth>0</wp14:pctWidth>
                  </wp14:sizeRelH>
                  <wp14:sizeRelV relativeFrom="page">
                    <wp14:pctHeight>0</wp14:pctHeight>
                  </wp14:sizeRelV>
                </wp:anchor>
              </w:drawing>
            </w:r>
          </w:p>
          <w:p w14:paraId="78870E99" w14:textId="77777777" w:rsidR="00C42D29" w:rsidRDefault="00C42D29" w:rsidP="002E63E2">
            <w:pPr>
              <w:tabs>
                <w:tab w:val="left" w:pos="1132"/>
              </w:tabs>
              <w:snapToGrid w:val="0"/>
              <w:jc w:val="both"/>
              <w:rPr>
                <w:sz w:val="16"/>
                <w:szCs w:val="16"/>
              </w:rPr>
            </w:pPr>
          </w:p>
          <w:p w14:paraId="7047F8FE" w14:textId="77777777" w:rsidR="002E63E2" w:rsidRPr="00F8031F" w:rsidRDefault="002E63E2" w:rsidP="002E63E2">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14281A64" w14:textId="77777777" w:rsidR="002E63E2" w:rsidRPr="00B55873" w:rsidRDefault="002E63E2" w:rsidP="002E63E2">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2E63E2" w14:paraId="5DB6BF5B" w14:textId="77777777" w:rsidTr="00C42D29">
        <w:trPr>
          <w:trHeight w:val="20"/>
        </w:trPr>
        <w:tc>
          <w:tcPr>
            <w:tcW w:w="1704" w:type="dxa"/>
            <w:tcBorders>
              <w:bottom w:val="single" w:sz="4" w:space="0" w:color="auto"/>
            </w:tcBorders>
            <w:vAlign w:val="center"/>
          </w:tcPr>
          <w:p w14:paraId="3CFEAF88"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11A0B7C5" w14:textId="77777777" w:rsidR="002E63E2" w:rsidRPr="00512D05" w:rsidRDefault="002E63E2" w:rsidP="002E63E2"/>
        </w:tc>
      </w:tr>
      <w:tr w:rsidR="002E63E2" w14:paraId="427BA66F" w14:textId="77777777" w:rsidTr="00C42D29">
        <w:trPr>
          <w:trHeight w:val="20"/>
        </w:trPr>
        <w:tc>
          <w:tcPr>
            <w:tcW w:w="1704" w:type="dxa"/>
            <w:vAlign w:val="center"/>
          </w:tcPr>
          <w:p w14:paraId="46D7E824" w14:textId="77777777" w:rsidR="002E63E2" w:rsidRPr="00075F31" w:rsidRDefault="002E63E2" w:rsidP="002E63E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63F17E00" w14:textId="77777777" w:rsidR="002E63E2" w:rsidRDefault="002E63E2" w:rsidP="002E63E2">
            <w:pPr>
              <w:rPr>
                <w:rFonts w:ascii="ＭＳ ゴシック" w:eastAsia="ＭＳ ゴシック" w:hAnsi="ＭＳ ゴシック"/>
                <w:sz w:val="22"/>
              </w:rPr>
            </w:pPr>
          </w:p>
        </w:tc>
      </w:tr>
    </w:tbl>
    <w:p w14:paraId="1CACC166" w14:textId="1E9BE56A" w:rsidR="001924CE" w:rsidRPr="005C14DE" w:rsidRDefault="00814C5F" w:rsidP="00013AD5">
      <w:pPr>
        <w:jc w:val="right"/>
      </w:pPr>
      <w:r>
        <w:rPr>
          <w:rFonts w:hint="eastAsia"/>
        </w:rPr>
        <w:t>20</w:t>
      </w:r>
      <w:r w:rsidR="00D46567">
        <w:t>2</w:t>
      </w:r>
      <w:r w:rsidR="001A6BF2">
        <w:rPr>
          <w:rFonts w:hint="eastAsia"/>
        </w:rPr>
        <w:t>4</w:t>
      </w:r>
      <w:r w:rsidR="008E4A0D">
        <w:rPr>
          <w:rFonts w:hint="eastAsia"/>
        </w:rPr>
        <w:t>年</w:t>
      </w:r>
      <w:r w:rsidR="001A6BF2">
        <w:t>4</w:t>
      </w:r>
      <w:r w:rsidR="008E4A0D">
        <w:rPr>
          <w:rFonts w:hint="eastAsia"/>
        </w:rPr>
        <w:t>月</w:t>
      </w:r>
    </w:p>
    <w:sectPr w:rsidR="001924CE" w:rsidRPr="005C14DE" w:rsidSect="00F717FB">
      <w:headerReference w:type="default" r:id="rId15"/>
      <w:pgSz w:w="11906" w:h="16838" w:code="9"/>
      <w:pgMar w:top="-426"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A0D4" w14:textId="77777777" w:rsidR="00BD0E4F" w:rsidRDefault="00BD0E4F">
      <w:r>
        <w:separator/>
      </w:r>
    </w:p>
  </w:endnote>
  <w:endnote w:type="continuationSeparator" w:id="0">
    <w:p w14:paraId="6E122DE2" w14:textId="77777777" w:rsidR="00BD0E4F" w:rsidRDefault="00BD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9D21" w14:textId="77777777" w:rsidR="00BD0E4F" w:rsidRDefault="00BD0E4F">
      <w:r>
        <w:separator/>
      </w:r>
    </w:p>
  </w:footnote>
  <w:footnote w:type="continuationSeparator" w:id="0">
    <w:p w14:paraId="1D77055E" w14:textId="77777777" w:rsidR="00BD0E4F" w:rsidRDefault="00BD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DA9B"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774F41"/>
    <w:multiLevelType w:val="hybridMultilevel"/>
    <w:tmpl w:val="481CC2D6"/>
    <w:lvl w:ilvl="0" w:tplc="5E5AFB94">
      <w:start w:val="1"/>
      <w:numFmt w:val="decimal"/>
      <w:lvlText w:val="(%1)"/>
      <w:lvlJc w:val="left"/>
      <w:pPr>
        <w:ind w:left="420" w:hanging="420"/>
      </w:pPr>
      <w:rPr>
        <w:rFonts w:hint="eastAsia"/>
        <w:vanish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396709672">
    <w:abstractNumId w:val="0"/>
  </w:num>
  <w:num w:numId="2" w16cid:durableId="276254208">
    <w:abstractNumId w:val="11"/>
  </w:num>
  <w:num w:numId="3" w16cid:durableId="2025011314">
    <w:abstractNumId w:val="5"/>
  </w:num>
  <w:num w:numId="4" w16cid:durableId="1592198565">
    <w:abstractNumId w:val="2"/>
  </w:num>
  <w:num w:numId="5" w16cid:durableId="1362588687">
    <w:abstractNumId w:val="3"/>
  </w:num>
  <w:num w:numId="6" w16cid:durableId="2087921728">
    <w:abstractNumId w:val="8"/>
  </w:num>
  <w:num w:numId="7" w16cid:durableId="1972440919">
    <w:abstractNumId w:val="1"/>
  </w:num>
  <w:num w:numId="8" w16cid:durableId="1418479161">
    <w:abstractNumId w:val="9"/>
  </w:num>
  <w:num w:numId="9" w16cid:durableId="2010676074">
    <w:abstractNumId w:val="4"/>
  </w:num>
  <w:num w:numId="10" w16cid:durableId="1152527756">
    <w:abstractNumId w:val="10"/>
  </w:num>
  <w:num w:numId="11" w16cid:durableId="1855146446">
    <w:abstractNumId w:val="6"/>
  </w:num>
  <w:num w:numId="12" w16cid:durableId="1190679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5510"/>
    <w:rsid w:val="00012CB6"/>
    <w:rsid w:val="00013AD5"/>
    <w:rsid w:val="00013DC3"/>
    <w:rsid w:val="00015921"/>
    <w:rsid w:val="00016D81"/>
    <w:rsid w:val="00020621"/>
    <w:rsid w:val="00023138"/>
    <w:rsid w:val="00030EB6"/>
    <w:rsid w:val="00034286"/>
    <w:rsid w:val="00041662"/>
    <w:rsid w:val="000510A0"/>
    <w:rsid w:val="00075F31"/>
    <w:rsid w:val="000826C3"/>
    <w:rsid w:val="00082929"/>
    <w:rsid w:val="0008386E"/>
    <w:rsid w:val="00093D51"/>
    <w:rsid w:val="000977A0"/>
    <w:rsid w:val="000A050D"/>
    <w:rsid w:val="000A1C0B"/>
    <w:rsid w:val="000A4D0C"/>
    <w:rsid w:val="000B4401"/>
    <w:rsid w:val="000C2B98"/>
    <w:rsid w:val="000C6B44"/>
    <w:rsid w:val="000D03F4"/>
    <w:rsid w:val="000D432F"/>
    <w:rsid w:val="000D5286"/>
    <w:rsid w:val="000E39E3"/>
    <w:rsid w:val="000F0E4E"/>
    <w:rsid w:val="00100115"/>
    <w:rsid w:val="00101A1D"/>
    <w:rsid w:val="0011413C"/>
    <w:rsid w:val="00121B8C"/>
    <w:rsid w:val="00122AA1"/>
    <w:rsid w:val="00126A1F"/>
    <w:rsid w:val="00126A5F"/>
    <w:rsid w:val="00135683"/>
    <w:rsid w:val="00152D6F"/>
    <w:rsid w:val="00176C91"/>
    <w:rsid w:val="0018320E"/>
    <w:rsid w:val="001875D0"/>
    <w:rsid w:val="001924CE"/>
    <w:rsid w:val="00192F6D"/>
    <w:rsid w:val="0019453D"/>
    <w:rsid w:val="00196448"/>
    <w:rsid w:val="001A6BF2"/>
    <w:rsid w:val="001B03EE"/>
    <w:rsid w:val="001B7B69"/>
    <w:rsid w:val="001C0043"/>
    <w:rsid w:val="001C26D6"/>
    <w:rsid w:val="001C32CC"/>
    <w:rsid w:val="001D2E73"/>
    <w:rsid w:val="001D54F5"/>
    <w:rsid w:val="001D6D38"/>
    <w:rsid w:val="001D6F9B"/>
    <w:rsid w:val="001F3F84"/>
    <w:rsid w:val="001F6D3D"/>
    <w:rsid w:val="002007CB"/>
    <w:rsid w:val="002136A4"/>
    <w:rsid w:val="00221B6A"/>
    <w:rsid w:val="002262F1"/>
    <w:rsid w:val="00227C13"/>
    <w:rsid w:val="002430E7"/>
    <w:rsid w:val="00246F9F"/>
    <w:rsid w:val="002530B7"/>
    <w:rsid w:val="00263160"/>
    <w:rsid w:val="00267F2C"/>
    <w:rsid w:val="002705B8"/>
    <w:rsid w:val="00270B53"/>
    <w:rsid w:val="00297789"/>
    <w:rsid w:val="002A74AC"/>
    <w:rsid w:val="002B1376"/>
    <w:rsid w:val="002D5862"/>
    <w:rsid w:val="002E63E2"/>
    <w:rsid w:val="002F4E60"/>
    <w:rsid w:val="002F744D"/>
    <w:rsid w:val="00307EB0"/>
    <w:rsid w:val="00314169"/>
    <w:rsid w:val="0032067C"/>
    <w:rsid w:val="0032478C"/>
    <w:rsid w:val="0032616A"/>
    <w:rsid w:val="003348DB"/>
    <w:rsid w:val="0033716E"/>
    <w:rsid w:val="003404EB"/>
    <w:rsid w:val="00355277"/>
    <w:rsid w:val="00361611"/>
    <w:rsid w:val="00362ADE"/>
    <w:rsid w:val="00374471"/>
    <w:rsid w:val="003751DB"/>
    <w:rsid w:val="00375B1F"/>
    <w:rsid w:val="00376A46"/>
    <w:rsid w:val="00377ED3"/>
    <w:rsid w:val="00383504"/>
    <w:rsid w:val="00386C27"/>
    <w:rsid w:val="003969C8"/>
    <w:rsid w:val="003A1A60"/>
    <w:rsid w:val="003B4C9D"/>
    <w:rsid w:val="003D2DF8"/>
    <w:rsid w:val="004114E7"/>
    <w:rsid w:val="00423238"/>
    <w:rsid w:val="004254C4"/>
    <w:rsid w:val="0042645B"/>
    <w:rsid w:val="00430846"/>
    <w:rsid w:val="00436DE7"/>
    <w:rsid w:val="00442EB8"/>
    <w:rsid w:val="00445E65"/>
    <w:rsid w:val="00450F87"/>
    <w:rsid w:val="00451506"/>
    <w:rsid w:val="00452D05"/>
    <w:rsid w:val="00455A00"/>
    <w:rsid w:val="00457302"/>
    <w:rsid w:val="004607B6"/>
    <w:rsid w:val="004646FC"/>
    <w:rsid w:val="004676F6"/>
    <w:rsid w:val="004700DF"/>
    <w:rsid w:val="00471D66"/>
    <w:rsid w:val="00481D07"/>
    <w:rsid w:val="00484C09"/>
    <w:rsid w:val="00490649"/>
    <w:rsid w:val="004921A5"/>
    <w:rsid w:val="00492940"/>
    <w:rsid w:val="00492AB1"/>
    <w:rsid w:val="00494235"/>
    <w:rsid w:val="00494EF5"/>
    <w:rsid w:val="00496494"/>
    <w:rsid w:val="004A4C23"/>
    <w:rsid w:val="004A4FA8"/>
    <w:rsid w:val="004B0B5C"/>
    <w:rsid w:val="004B130C"/>
    <w:rsid w:val="004B325C"/>
    <w:rsid w:val="004B44B9"/>
    <w:rsid w:val="004B7FCF"/>
    <w:rsid w:val="004C70CE"/>
    <w:rsid w:val="004D384E"/>
    <w:rsid w:val="004D3FF9"/>
    <w:rsid w:val="004D44A5"/>
    <w:rsid w:val="004E304F"/>
    <w:rsid w:val="004E34DB"/>
    <w:rsid w:val="004F0834"/>
    <w:rsid w:val="004F0B7E"/>
    <w:rsid w:val="00500499"/>
    <w:rsid w:val="0050192D"/>
    <w:rsid w:val="0050632E"/>
    <w:rsid w:val="005126BC"/>
    <w:rsid w:val="00512D05"/>
    <w:rsid w:val="00522463"/>
    <w:rsid w:val="00522D06"/>
    <w:rsid w:val="00532323"/>
    <w:rsid w:val="00532337"/>
    <w:rsid w:val="00536DA7"/>
    <w:rsid w:val="00543370"/>
    <w:rsid w:val="00563742"/>
    <w:rsid w:val="005759F2"/>
    <w:rsid w:val="005818FF"/>
    <w:rsid w:val="00583276"/>
    <w:rsid w:val="00592716"/>
    <w:rsid w:val="005A6AEF"/>
    <w:rsid w:val="005A7498"/>
    <w:rsid w:val="005B0828"/>
    <w:rsid w:val="005B1C19"/>
    <w:rsid w:val="005B2795"/>
    <w:rsid w:val="005C12AD"/>
    <w:rsid w:val="005C14DE"/>
    <w:rsid w:val="005C254B"/>
    <w:rsid w:val="005D433E"/>
    <w:rsid w:val="005D7609"/>
    <w:rsid w:val="005E1A4A"/>
    <w:rsid w:val="005E1C2E"/>
    <w:rsid w:val="005E664E"/>
    <w:rsid w:val="005F29DC"/>
    <w:rsid w:val="005F3C0D"/>
    <w:rsid w:val="00602A83"/>
    <w:rsid w:val="00607F46"/>
    <w:rsid w:val="006132A2"/>
    <w:rsid w:val="0061671E"/>
    <w:rsid w:val="006262CC"/>
    <w:rsid w:val="006320D2"/>
    <w:rsid w:val="006378C6"/>
    <w:rsid w:val="00654341"/>
    <w:rsid w:val="006548F9"/>
    <w:rsid w:val="00660FEA"/>
    <w:rsid w:val="00667FBA"/>
    <w:rsid w:val="00680230"/>
    <w:rsid w:val="006866B3"/>
    <w:rsid w:val="00694AAA"/>
    <w:rsid w:val="006975A1"/>
    <w:rsid w:val="006B1D07"/>
    <w:rsid w:val="006B5DB7"/>
    <w:rsid w:val="006E1630"/>
    <w:rsid w:val="006E1D69"/>
    <w:rsid w:val="006E1DD6"/>
    <w:rsid w:val="006E3392"/>
    <w:rsid w:val="006F34C5"/>
    <w:rsid w:val="00707128"/>
    <w:rsid w:val="00711299"/>
    <w:rsid w:val="00714438"/>
    <w:rsid w:val="00717414"/>
    <w:rsid w:val="007201AF"/>
    <w:rsid w:val="00743E15"/>
    <w:rsid w:val="00747B03"/>
    <w:rsid w:val="007666E4"/>
    <w:rsid w:val="007912EA"/>
    <w:rsid w:val="007935D2"/>
    <w:rsid w:val="007A0CEF"/>
    <w:rsid w:val="007A2541"/>
    <w:rsid w:val="007B42CA"/>
    <w:rsid w:val="007B65F9"/>
    <w:rsid w:val="007B746F"/>
    <w:rsid w:val="007C0A0A"/>
    <w:rsid w:val="007F430A"/>
    <w:rsid w:val="008028E1"/>
    <w:rsid w:val="008037B6"/>
    <w:rsid w:val="00814C5F"/>
    <w:rsid w:val="008167B5"/>
    <w:rsid w:val="00832085"/>
    <w:rsid w:val="008340C4"/>
    <w:rsid w:val="00844233"/>
    <w:rsid w:val="00854CF8"/>
    <w:rsid w:val="00855268"/>
    <w:rsid w:val="00855990"/>
    <w:rsid w:val="00856DA3"/>
    <w:rsid w:val="00857732"/>
    <w:rsid w:val="0086074C"/>
    <w:rsid w:val="00866111"/>
    <w:rsid w:val="00866A4E"/>
    <w:rsid w:val="0087356E"/>
    <w:rsid w:val="00881A88"/>
    <w:rsid w:val="00884DAB"/>
    <w:rsid w:val="008B0BF7"/>
    <w:rsid w:val="008B1BDF"/>
    <w:rsid w:val="008C29A2"/>
    <w:rsid w:val="008C7E33"/>
    <w:rsid w:val="008D52F1"/>
    <w:rsid w:val="008D7439"/>
    <w:rsid w:val="008E05D5"/>
    <w:rsid w:val="008E4A0D"/>
    <w:rsid w:val="008F3187"/>
    <w:rsid w:val="00910A84"/>
    <w:rsid w:val="00917C09"/>
    <w:rsid w:val="0095009F"/>
    <w:rsid w:val="00955D7C"/>
    <w:rsid w:val="0096597E"/>
    <w:rsid w:val="009672D3"/>
    <w:rsid w:val="009700DF"/>
    <w:rsid w:val="00970537"/>
    <w:rsid w:val="0097570D"/>
    <w:rsid w:val="00981FD6"/>
    <w:rsid w:val="00982F89"/>
    <w:rsid w:val="00984003"/>
    <w:rsid w:val="009B1EE4"/>
    <w:rsid w:val="009B2862"/>
    <w:rsid w:val="009B3C27"/>
    <w:rsid w:val="009C0259"/>
    <w:rsid w:val="009D6303"/>
    <w:rsid w:val="009D66A4"/>
    <w:rsid w:val="009D6935"/>
    <w:rsid w:val="009F6AF8"/>
    <w:rsid w:val="00A042CD"/>
    <w:rsid w:val="00A11B45"/>
    <w:rsid w:val="00A13DE3"/>
    <w:rsid w:val="00A16C42"/>
    <w:rsid w:val="00A40865"/>
    <w:rsid w:val="00A41680"/>
    <w:rsid w:val="00A42893"/>
    <w:rsid w:val="00A44188"/>
    <w:rsid w:val="00A47EA5"/>
    <w:rsid w:val="00A52920"/>
    <w:rsid w:val="00A565FC"/>
    <w:rsid w:val="00A7398D"/>
    <w:rsid w:val="00A76AF2"/>
    <w:rsid w:val="00AB40A5"/>
    <w:rsid w:val="00AD0777"/>
    <w:rsid w:val="00AD24D0"/>
    <w:rsid w:val="00AD7C39"/>
    <w:rsid w:val="00AE3252"/>
    <w:rsid w:val="00AE71DE"/>
    <w:rsid w:val="00AF626F"/>
    <w:rsid w:val="00B00120"/>
    <w:rsid w:val="00B016F8"/>
    <w:rsid w:val="00B1209A"/>
    <w:rsid w:val="00B1359F"/>
    <w:rsid w:val="00B23993"/>
    <w:rsid w:val="00B3574B"/>
    <w:rsid w:val="00B41BDD"/>
    <w:rsid w:val="00B431C9"/>
    <w:rsid w:val="00B521A4"/>
    <w:rsid w:val="00B53838"/>
    <w:rsid w:val="00B55873"/>
    <w:rsid w:val="00B60FE7"/>
    <w:rsid w:val="00B613B3"/>
    <w:rsid w:val="00B61E07"/>
    <w:rsid w:val="00B677C0"/>
    <w:rsid w:val="00B678D8"/>
    <w:rsid w:val="00B729A0"/>
    <w:rsid w:val="00B74ACD"/>
    <w:rsid w:val="00B7725C"/>
    <w:rsid w:val="00B851CD"/>
    <w:rsid w:val="00BA436B"/>
    <w:rsid w:val="00BC012E"/>
    <w:rsid w:val="00BC07F9"/>
    <w:rsid w:val="00BC272E"/>
    <w:rsid w:val="00BC4610"/>
    <w:rsid w:val="00BC5A3D"/>
    <w:rsid w:val="00BD0E4F"/>
    <w:rsid w:val="00BD15DE"/>
    <w:rsid w:val="00BD3E50"/>
    <w:rsid w:val="00BE065E"/>
    <w:rsid w:val="00BF1FBE"/>
    <w:rsid w:val="00BF2D1F"/>
    <w:rsid w:val="00C004F4"/>
    <w:rsid w:val="00C00BCD"/>
    <w:rsid w:val="00C05290"/>
    <w:rsid w:val="00C23FE4"/>
    <w:rsid w:val="00C34F43"/>
    <w:rsid w:val="00C3535C"/>
    <w:rsid w:val="00C42D29"/>
    <w:rsid w:val="00C44F81"/>
    <w:rsid w:val="00C6073F"/>
    <w:rsid w:val="00C6246B"/>
    <w:rsid w:val="00C67F17"/>
    <w:rsid w:val="00C745D2"/>
    <w:rsid w:val="00C81E0B"/>
    <w:rsid w:val="00C83BDF"/>
    <w:rsid w:val="00C83DBD"/>
    <w:rsid w:val="00C85799"/>
    <w:rsid w:val="00C86C55"/>
    <w:rsid w:val="00C90C89"/>
    <w:rsid w:val="00C95CD7"/>
    <w:rsid w:val="00C97A45"/>
    <w:rsid w:val="00CA409E"/>
    <w:rsid w:val="00CB4BA1"/>
    <w:rsid w:val="00CB7F28"/>
    <w:rsid w:val="00CC2654"/>
    <w:rsid w:val="00CC5333"/>
    <w:rsid w:val="00CD7792"/>
    <w:rsid w:val="00CE6490"/>
    <w:rsid w:val="00CF0246"/>
    <w:rsid w:val="00CF024C"/>
    <w:rsid w:val="00CF0E2C"/>
    <w:rsid w:val="00D01EB5"/>
    <w:rsid w:val="00D04702"/>
    <w:rsid w:val="00D16C96"/>
    <w:rsid w:val="00D239F4"/>
    <w:rsid w:val="00D25819"/>
    <w:rsid w:val="00D305FE"/>
    <w:rsid w:val="00D34728"/>
    <w:rsid w:val="00D407D5"/>
    <w:rsid w:val="00D46567"/>
    <w:rsid w:val="00D574FF"/>
    <w:rsid w:val="00D72EEF"/>
    <w:rsid w:val="00D761B1"/>
    <w:rsid w:val="00D7648B"/>
    <w:rsid w:val="00D84F9F"/>
    <w:rsid w:val="00D8557C"/>
    <w:rsid w:val="00D867DD"/>
    <w:rsid w:val="00D96E98"/>
    <w:rsid w:val="00DA0680"/>
    <w:rsid w:val="00DB44BB"/>
    <w:rsid w:val="00DC63E9"/>
    <w:rsid w:val="00DD0C4A"/>
    <w:rsid w:val="00DE468F"/>
    <w:rsid w:val="00DE52E9"/>
    <w:rsid w:val="00DE7E1B"/>
    <w:rsid w:val="00DF75AC"/>
    <w:rsid w:val="00E042E7"/>
    <w:rsid w:val="00E23728"/>
    <w:rsid w:val="00E42CE7"/>
    <w:rsid w:val="00E436DD"/>
    <w:rsid w:val="00E51C27"/>
    <w:rsid w:val="00E6091D"/>
    <w:rsid w:val="00E62ECF"/>
    <w:rsid w:val="00E65BBD"/>
    <w:rsid w:val="00E6634F"/>
    <w:rsid w:val="00E723D9"/>
    <w:rsid w:val="00E72AB9"/>
    <w:rsid w:val="00E74193"/>
    <w:rsid w:val="00E76BBA"/>
    <w:rsid w:val="00E82106"/>
    <w:rsid w:val="00E82CE6"/>
    <w:rsid w:val="00E84C9D"/>
    <w:rsid w:val="00E9129E"/>
    <w:rsid w:val="00EA41E6"/>
    <w:rsid w:val="00EB5590"/>
    <w:rsid w:val="00ED0B20"/>
    <w:rsid w:val="00ED6938"/>
    <w:rsid w:val="00F13BB4"/>
    <w:rsid w:val="00F3218F"/>
    <w:rsid w:val="00F4076B"/>
    <w:rsid w:val="00F46947"/>
    <w:rsid w:val="00F51702"/>
    <w:rsid w:val="00F520FE"/>
    <w:rsid w:val="00F570E7"/>
    <w:rsid w:val="00F622B2"/>
    <w:rsid w:val="00F667A8"/>
    <w:rsid w:val="00F717FB"/>
    <w:rsid w:val="00F72BC0"/>
    <w:rsid w:val="00F8031F"/>
    <w:rsid w:val="00F81049"/>
    <w:rsid w:val="00F812ED"/>
    <w:rsid w:val="00F925BE"/>
    <w:rsid w:val="00F97926"/>
    <w:rsid w:val="00FA1BA6"/>
    <w:rsid w:val="00FB44EA"/>
    <w:rsid w:val="00FB5A62"/>
    <w:rsid w:val="00FC6F1E"/>
    <w:rsid w:val="00FD2111"/>
    <w:rsid w:val="00FD7883"/>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6DFBE30"/>
  <w15:chartTrackingRefBased/>
  <w15:docId w15:val="{29395190-86E9-4481-A839-1EE8E27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ADC211D313C8428E8D594BA4448E77" ma:contentTypeVersion="10" ma:contentTypeDescription="新しいドキュメントを作成します。" ma:contentTypeScope="" ma:versionID="5f5eb64cfc12066ad5f2dae7c49b8b43">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543CC4C6-A370-4153-BF98-E09740C39252}">
  <ds:schemaRefs>
    <ds:schemaRef ds:uri="http://schemas.openxmlformats.org/officeDocument/2006/bibliography"/>
  </ds:schemaRefs>
</ds:datastoreItem>
</file>

<file path=customXml/itemProps2.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3.xml><?xml version="1.0" encoding="utf-8"?>
<ds:datastoreItem xmlns:ds="http://schemas.openxmlformats.org/officeDocument/2006/customXml" ds:itemID="{F2D24A92-B8EE-4DD6-BCEF-78F06BA93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BB306D-0134-4182-BA94-9567FFF01F36}">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製品別比較表(案)</vt:lpstr>
      <vt:lpstr>後　　発　　品</vt:lpstr>
    </vt:vector>
  </TitlesOfParts>
  <Company>大原薬品工業株式会社</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製品別比較表(案)</dc:title>
  <dc:subject/>
  <dc:creator>DSEP</dc:creator>
  <cp:keywords/>
  <cp:lastModifiedBy>KITAMURA TOSHINARI / 北村 俊成</cp:lastModifiedBy>
  <cp:revision>2</cp:revision>
  <cp:lastPrinted>2014-06-13T07:18:00Z</cp:lastPrinted>
  <dcterms:created xsi:type="dcterms:W3CDTF">2024-03-14T03:11:00Z</dcterms:created>
  <dcterms:modified xsi:type="dcterms:W3CDTF">2024-03-14T03:11:00Z</dcterms:modified>
</cp:coreProperties>
</file>