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4285"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4309"/>
        <w:gridCol w:w="4309"/>
      </w:tblGrid>
      <w:tr w:rsidR="008E4A0D" w14:paraId="5A67859B" w14:textId="77777777" w:rsidTr="00E62F46">
        <w:trPr>
          <w:trHeight w:hRule="exact" w:val="283"/>
        </w:trPr>
        <w:tc>
          <w:tcPr>
            <w:tcW w:w="778" w:type="pct"/>
            <w:vAlign w:val="center"/>
          </w:tcPr>
          <w:p w14:paraId="16BBCDB2" w14:textId="77777777" w:rsidR="008E4A0D" w:rsidRDefault="008E4A0D" w:rsidP="00092809">
            <w:pPr>
              <w:rPr>
                <w:rFonts w:ascii="ＭＳ ゴシック" w:eastAsia="ＭＳ ゴシック" w:hAnsi="ＭＳ ゴシック"/>
              </w:rPr>
            </w:pPr>
          </w:p>
        </w:tc>
        <w:tc>
          <w:tcPr>
            <w:tcW w:w="2111" w:type="pct"/>
            <w:vAlign w:val="center"/>
          </w:tcPr>
          <w:p w14:paraId="3DCEF64A" w14:textId="77777777" w:rsidR="008E4A0D" w:rsidRPr="00075F31" w:rsidRDefault="008E4A0D" w:rsidP="00051DDA">
            <w:pPr>
              <w:spacing w:line="240" w:lineRule="exact"/>
              <w:jc w:val="center"/>
              <w:rPr>
                <w:rFonts w:ascii="Arial" w:eastAsia="ＭＳ ゴシック" w:hAnsi="Arial"/>
              </w:rPr>
            </w:pPr>
            <w:r w:rsidRPr="00075F31">
              <w:rPr>
                <w:rFonts w:ascii="Arial" w:eastAsia="ＭＳ ゴシック" w:hAnsi="ＭＳ ゴシック" w:hint="eastAsia"/>
              </w:rPr>
              <w:t>後　　発　　品</w:t>
            </w:r>
          </w:p>
        </w:tc>
        <w:tc>
          <w:tcPr>
            <w:tcW w:w="2112" w:type="pct"/>
            <w:vAlign w:val="center"/>
          </w:tcPr>
          <w:p w14:paraId="47CB397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BAF78EB" w14:textId="77777777" w:rsidTr="00E62F46">
        <w:trPr>
          <w:trHeight w:hRule="exact" w:val="283"/>
        </w:trPr>
        <w:tc>
          <w:tcPr>
            <w:tcW w:w="778" w:type="pct"/>
            <w:vAlign w:val="center"/>
          </w:tcPr>
          <w:p w14:paraId="507D782E" w14:textId="74E3AAE7" w:rsidR="00B016F8" w:rsidRPr="00075F31" w:rsidRDefault="00B016F8" w:rsidP="00E62F46">
            <w:pPr>
              <w:jc w:val="distribute"/>
              <w:rPr>
                <w:rFonts w:ascii="Arial" w:eastAsia="ＭＳ ゴシック" w:hAnsi="Arial"/>
              </w:rPr>
            </w:pPr>
            <w:r w:rsidRPr="00075F31">
              <w:rPr>
                <w:rFonts w:ascii="Arial" w:eastAsia="ＭＳ ゴシック" w:hAnsi="ＭＳ ゴシック" w:hint="eastAsia"/>
              </w:rPr>
              <w:t>会社名</w:t>
            </w:r>
          </w:p>
        </w:tc>
        <w:tc>
          <w:tcPr>
            <w:tcW w:w="2111" w:type="pct"/>
            <w:vAlign w:val="center"/>
          </w:tcPr>
          <w:p w14:paraId="787853A0" w14:textId="77777777" w:rsidR="00B016F8" w:rsidRPr="00457302" w:rsidRDefault="00B016F8" w:rsidP="00051DDA">
            <w:pPr>
              <w:spacing w:line="240" w:lineRule="exact"/>
              <w:jc w:val="center"/>
              <w:rPr>
                <w:szCs w:val="20"/>
              </w:rPr>
            </w:pPr>
            <w:r w:rsidRPr="00457302">
              <w:rPr>
                <w:rFonts w:hint="eastAsia"/>
                <w:szCs w:val="20"/>
              </w:rPr>
              <w:t>第一三共エスファ株式会社</w:t>
            </w:r>
          </w:p>
        </w:tc>
        <w:tc>
          <w:tcPr>
            <w:tcW w:w="2112" w:type="pct"/>
            <w:vAlign w:val="center"/>
          </w:tcPr>
          <w:p w14:paraId="3B2D15F0" w14:textId="77777777" w:rsidR="00B016F8" w:rsidRPr="00B016F8" w:rsidRDefault="00B016F8" w:rsidP="00E65BBD">
            <w:pPr>
              <w:jc w:val="center"/>
              <w:rPr>
                <w:szCs w:val="20"/>
              </w:rPr>
            </w:pPr>
          </w:p>
        </w:tc>
      </w:tr>
      <w:tr w:rsidR="00B016F8" w14:paraId="4F9E9D5C" w14:textId="77777777" w:rsidTr="00E62F46">
        <w:trPr>
          <w:trHeight w:hRule="exact" w:val="283"/>
        </w:trPr>
        <w:tc>
          <w:tcPr>
            <w:tcW w:w="778" w:type="pct"/>
            <w:vAlign w:val="center"/>
          </w:tcPr>
          <w:p w14:paraId="25BEBC52" w14:textId="689D43D7" w:rsidR="00B016F8" w:rsidRPr="00075F31" w:rsidRDefault="00221720" w:rsidP="00092809">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品名</w:t>
            </w:r>
          </w:p>
        </w:tc>
        <w:tc>
          <w:tcPr>
            <w:tcW w:w="2111" w:type="pct"/>
            <w:vAlign w:val="center"/>
          </w:tcPr>
          <w:p w14:paraId="214B4D50" w14:textId="77777777" w:rsidR="00B016F8" w:rsidRPr="004E34DB" w:rsidRDefault="00B71AEF" w:rsidP="00051DDA">
            <w:pPr>
              <w:spacing w:line="240" w:lineRule="exact"/>
              <w:jc w:val="center"/>
              <w:rPr>
                <w:rFonts w:ascii="Arial" w:eastAsia="ＭＳ ゴシック" w:hAnsi="Arial"/>
                <w:vertAlign w:val="subscript"/>
              </w:rPr>
            </w:pPr>
            <w:r>
              <w:rPr>
                <w:rFonts w:ascii="Arial" w:eastAsia="ＭＳ ゴシック" w:hAnsi="Arial" w:hint="eastAsia"/>
              </w:rPr>
              <w:t>エナラプリルマレイン酸塩</w:t>
            </w:r>
            <w:r w:rsidR="00A40865" w:rsidRPr="004E34DB">
              <w:rPr>
                <w:rFonts w:ascii="Arial" w:eastAsia="ＭＳ ゴシック" w:hAnsi="Arial" w:hint="eastAsia"/>
              </w:rPr>
              <w:t>錠</w:t>
            </w:r>
            <w:r w:rsidR="00A40865" w:rsidRPr="004E34DB">
              <w:rPr>
                <w:rFonts w:ascii="Arial" w:eastAsia="ＭＳ ゴシック" w:hAnsi="Arial" w:hint="eastAsia"/>
              </w:rPr>
              <w:t>5</w:t>
            </w:r>
            <w:r>
              <w:rPr>
                <w:rFonts w:ascii="Arial" w:eastAsia="ＭＳ ゴシック" w:hAnsi="Arial" w:hint="eastAsia"/>
              </w:rPr>
              <w:t>mg</w:t>
            </w:r>
            <w:r>
              <w:rPr>
                <w:rFonts w:ascii="Arial" w:eastAsia="ＭＳ ゴシック" w:hAnsi="Arial" w:hint="eastAsia"/>
              </w:rPr>
              <w:t>「日新」</w:t>
            </w:r>
          </w:p>
        </w:tc>
        <w:tc>
          <w:tcPr>
            <w:tcW w:w="2112" w:type="pct"/>
            <w:vAlign w:val="center"/>
          </w:tcPr>
          <w:p w14:paraId="60E1C064" w14:textId="0E3599C0" w:rsidR="00B016F8" w:rsidRPr="00B715B5" w:rsidRDefault="00B715B5" w:rsidP="00CC5333">
            <w:pPr>
              <w:jc w:val="center"/>
              <w:rPr>
                <w:rFonts w:ascii="Arial" w:eastAsia="ＭＳ ゴシック" w:hAnsi="Arial" w:cs="Arial"/>
              </w:rPr>
            </w:pPr>
            <w:r w:rsidRPr="00B715B5">
              <w:rPr>
                <w:rFonts w:ascii="Arial" w:eastAsia="ＭＳ ゴシック" w:hAnsi="Arial" w:cs="Arial" w:hint="eastAsia"/>
              </w:rPr>
              <w:t>レニベ－ス錠</w:t>
            </w:r>
            <w:r w:rsidRPr="00B715B5">
              <w:rPr>
                <w:rFonts w:ascii="Arial" w:eastAsia="ＭＳ ゴシック" w:hAnsi="Arial" w:cs="Arial" w:hint="eastAsia"/>
              </w:rPr>
              <w:t>5</w:t>
            </w:r>
          </w:p>
        </w:tc>
      </w:tr>
      <w:tr w:rsidR="009A6CA9" w14:paraId="4E68F83A" w14:textId="77777777" w:rsidTr="00E62F46">
        <w:trPr>
          <w:trHeight w:hRule="exact" w:val="283"/>
        </w:trPr>
        <w:tc>
          <w:tcPr>
            <w:tcW w:w="778" w:type="pct"/>
            <w:vAlign w:val="center"/>
          </w:tcPr>
          <w:p w14:paraId="1307B4E1" w14:textId="6F35E216" w:rsidR="009A6CA9" w:rsidRPr="00075F31" w:rsidRDefault="009A6CA9" w:rsidP="00E62F46">
            <w:pPr>
              <w:jc w:val="distribute"/>
              <w:rPr>
                <w:rFonts w:ascii="Arial" w:eastAsia="ＭＳ ゴシック" w:hAnsi="Arial"/>
              </w:rPr>
            </w:pPr>
            <w:r w:rsidRPr="00075F31">
              <w:rPr>
                <w:rFonts w:ascii="Arial" w:eastAsia="ＭＳ ゴシック" w:hAnsi="ＭＳ ゴシック" w:hint="eastAsia"/>
              </w:rPr>
              <w:t>薬価</w:t>
            </w:r>
          </w:p>
        </w:tc>
        <w:tc>
          <w:tcPr>
            <w:tcW w:w="2111" w:type="pct"/>
            <w:vAlign w:val="center"/>
          </w:tcPr>
          <w:p w14:paraId="29B2E924" w14:textId="77777777" w:rsidR="009A6CA9" w:rsidRPr="00EE6E18" w:rsidRDefault="004726BF" w:rsidP="00761DE3">
            <w:pPr>
              <w:spacing w:line="240" w:lineRule="exact"/>
              <w:jc w:val="center"/>
              <w:rPr>
                <w:szCs w:val="20"/>
              </w:rPr>
            </w:pPr>
            <w:r>
              <w:rPr>
                <w:rFonts w:hAnsi="ＭＳ 明朝" w:hint="eastAsia"/>
                <w:szCs w:val="20"/>
              </w:rPr>
              <w:t>1</w:t>
            </w:r>
            <w:r>
              <w:rPr>
                <w:rFonts w:hAnsi="ＭＳ 明朝"/>
                <w:szCs w:val="20"/>
              </w:rPr>
              <w:t>0.10</w:t>
            </w:r>
            <w:r w:rsidR="009A6CA9" w:rsidRPr="00EE6E18">
              <w:rPr>
                <w:rFonts w:hAnsi="ＭＳ 明朝" w:hint="eastAsia"/>
                <w:szCs w:val="20"/>
              </w:rPr>
              <w:t>円</w:t>
            </w:r>
          </w:p>
        </w:tc>
        <w:tc>
          <w:tcPr>
            <w:tcW w:w="2112" w:type="pct"/>
            <w:vAlign w:val="center"/>
          </w:tcPr>
          <w:p w14:paraId="4FA6D5E8" w14:textId="6298C93C" w:rsidR="009A6CA9" w:rsidRPr="00EE6E18" w:rsidRDefault="00B715B5" w:rsidP="00161E41">
            <w:pPr>
              <w:jc w:val="center"/>
              <w:rPr>
                <w:szCs w:val="20"/>
              </w:rPr>
            </w:pPr>
            <w:r>
              <w:rPr>
                <w:rFonts w:hAnsi="ＭＳ 明朝" w:hint="eastAsia"/>
                <w:szCs w:val="20"/>
              </w:rPr>
              <w:t>1</w:t>
            </w:r>
            <w:r>
              <w:rPr>
                <w:rFonts w:hAnsi="ＭＳ 明朝"/>
                <w:szCs w:val="20"/>
              </w:rPr>
              <w:t>5.20</w:t>
            </w:r>
            <w:r w:rsidR="009A6CA9" w:rsidRPr="00EE6E18">
              <w:rPr>
                <w:rFonts w:hAnsi="ＭＳ 明朝" w:hint="eastAsia"/>
                <w:szCs w:val="20"/>
              </w:rPr>
              <w:t>円</w:t>
            </w:r>
          </w:p>
        </w:tc>
      </w:tr>
      <w:tr w:rsidR="00CC5333" w14:paraId="2705F3EF" w14:textId="77777777" w:rsidTr="00E62F46">
        <w:trPr>
          <w:trHeight w:hRule="exact" w:val="283"/>
        </w:trPr>
        <w:tc>
          <w:tcPr>
            <w:tcW w:w="778" w:type="pct"/>
            <w:vAlign w:val="center"/>
          </w:tcPr>
          <w:p w14:paraId="5C44AA0F" w14:textId="508EA799" w:rsidR="00CC5333" w:rsidRPr="00075F31" w:rsidRDefault="00CC5333" w:rsidP="00E62F46">
            <w:pPr>
              <w:jc w:val="distribute"/>
              <w:rPr>
                <w:rFonts w:ascii="Arial" w:eastAsia="ＭＳ ゴシック" w:hAnsi="Arial"/>
              </w:rPr>
            </w:pPr>
            <w:r w:rsidRPr="00075F31">
              <w:rPr>
                <w:rFonts w:ascii="Arial" w:eastAsia="ＭＳ ゴシック" w:hAnsi="ＭＳ ゴシック" w:hint="eastAsia"/>
              </w:rPr>
              <w:t>規格</w:t>
            </w:r>
          </w:p>
        </w:tc>
        <w:tc>
          <w:tcPr>
            <w:tcW w:w="4222" w:type="pct"/>
            <w:gridSpan w:val="2"/>
            <w:vAlign w:val="center"/>
          </w:tcPr>
          <w:p w14:paraId="513CDD63" w14:textId="77777777" w:rsidR="00CC5333" w:rsidRPr="00B016F8" w:rsidRDefault="00B016F8" w:rsidP="00051DDA">
            <w:pPr>
              <w:spacing w:line="240" w:lineRule="exact"/>
              <w:jc w:val="center"/>
            </w:pPr>
            <w:r>
              <w:t>1</w:t>
            </w:r>
            <w:r>
              <w:rPr>
                <w:rFonts w:hint="eastAsia"/>
              </w:rPr>
              <w:t>錠中に</w:t>
            </w:r>
            <w:r w:rsidR="00D407D5" w:rsidRPr="004E34DB">
              <w:rPr>
                <w:rFonts w:ascii="Arial" w:eastAsia="ＭＳ ゴシック" w:hint="eastAsia"/>
              </w:rPr>
              <w:t>エナラプリルマレイン酸塩</w:t>
            </w:r>
            <w:r w:rsidR="00051DDA">
              <w:rPr>
                <w:rFonts w:ascii="Arial" w:eastAsia="ＭＳ ゴシック" w:hint="eastAsia"/>
              </w:rPr>
              <w:t>（日局）</w:t>
            </w:r>
            <w:r w:rsidR="0087356E">
              <w:t>5mg</w:t>
            </w:r>
            <w:r>
              <w:rPr>
                <w:rFonts w:hint="eastAsia"/>
              </w:rPr>
              <w:t>を含有</w:t>
            </w:r>
          </w:p>
        </w:tc>
      </w:tr>
      <w:tr w:rsidR="00221720" w14:paraId="01B238AF" w14:textId="77777777" w:rsidTr="00E62F46">
        <w:tc>
          <w:tcPr>
            <w:tcW w:w="778" w:type="pct"/>
            <w:vAlign w:val="center"/>
          </w:tcPr>
          <w:p w14:paraId="564E44BF"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添加物</w:t>
            </w:r>
          </w:p>
        </w:tc>
        <w:tc>
          <w:tcPr>
            <w:tcW w:w="2111" w:type="pct"/>
            <w:tcBorders>
              <w:right w:val="single" w:sz="4" w:space="0" w:color="auto"/>
            </w:tcBorders>
            <w:tcMar>
              <w:left w:w="0" w:type="dxa"/>
              <w:right w:w="0" w:type="dxa"/>
            </w:tcMar>
          </w:tcPr>
          <w:p w14:paraId="13B02F1A" w14:textId="77777777" w:rsidR="00221720" w:rsidRPr="00D407D5" w:rsidRDefault="00221720" w:rsidP="00221720">
            <w:pPr>
              <w:spacing w:line="240" w:lineRule="exact"/>
              <w:ind w:leftChars="31" w:left="60" w:hanging="1"/>
              <w:rPr>
                <w:szCs w:val="20"/>
              </w:rPr>
            </w:pPr>
            <w:r w:rsidRPr="00D407D5">
              <w:rPr>
                <w:rFonts w:hint="eastAsia"/>
                <w:szCs w:val="20"/>
              </w:rPr>
              <w:t>乳糖水和物、トウモロコシデンプン、ヒドロキシプロピルセルロース、カルメロース、ショ糖脂肪酸エステル、タルク、</w:t>
            </w:r>
            <w:r>
              <w:rPr>
                <w:rFonts w:hint="eastAsia"/>
                <w:szCs w:val="20"/>
              </w:rPr>
              <w:t>黄色三二酸化鉄、</w:t>
            </w:r>
            <w:r w:rsidRPr="00D407D5">
              <w:rPr>
                <w:rFonts w:hint="eastAsia"/>
                <w:szCs w:val="20"/>
              </w:rPr>
              <w:t>三二酸化鉄</w:t>
            </w:r>
          </w:p>
        </w:tc>
        <w:tc>
          <w:tcPr>
            <w:tcW w:w="2112" w:type="pct"/>
            <w:tcBorders>
              <w:left w:val="single" w:sz="4" w:space="0" w:color="auto"/>
            </w:tcBorders>
            <w:tcMar>
              <w:left w:w="0" w:type="dxa"/>
              <w:right w:w="0" w:type="dxa"/>
            </w:tcMar>
          </w:tcPr>
          <w:p w14:paraId="690BB882" w14:textId="77777777" w:rsidR="00221720" w:rsidRPr="00D407D5" w:rsidRDefault="00221720" w:rsidP="00221720">
            <w:pPr>
              <w:spacing w:line="240" w:lineRule="exact"/>
              <w:ind w:leftChars="30" w:left="57" w:firstLineChars="1" w:firstLine="2"/>
              <w:rPr>
                <w:szCs w:val="20"/>
              </w:rPr>
            </w:pPr>
            <w:r w:rsidRPr="00D407D5">
              <w:rPr>
                <w:rFonts w:hint="eastAsia"/>
                <w:szCs w:val="20"/>
              </w:rPr>
              <w:t>乳糖水和物、トウモロコシデンプン、アルファー化デンプン、炭酸水素ナトリウム、黄色三二酸化鉄、三二酸化鉄、ステアリン酸マグネシウム</w:t>
            </w:r>
          </w:p>
        </w:tc>
      </w:tr>
      <w:tr w:rsidR="00221720" w14:paraId="02150B5E" w14:textId="77777777" w:rsidTr="00E62F46">
        <w:trPr>
          <w:trHeight w:hRule="exact" w:val="283"/>
        </w:trPr>
        <w:tc>
          <w:tcPr>
            <w:tcW w:w="778" w:type="pct"/>
            <w:vAlign w:val="center"/>
          </w:tcPr>
          <w:p w14:paraId="2D3542CE"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薬効分類名</w:t>
            </w:r>
          </w:p>
        </w:tc>
        <w:tc>
          <w:tcPr>
            <w:tcW w:w="4222" w:type="pct"/>
            <w:gridSpan w:val="2"/>
            <w:vAlign w:val="center"/>
          </w:tcPr>
          <w:p w14:paraId="6F509946" w14:textId="77777777" w:rsidR="00221720" w:rsidRPr="00ED6938" w:rsidRDefault="00221720" w:rsidP="00221720">
            <w:pPr>
              <w:pStyle w:val="a3"/>
              <w:tabs>
                <w:tab w:val="clear" w:pos="4252"/>
                <w:tab w:val="clear" w:pos="8504"/>
              </w:tabs>
              <w:snapToGrid/>
              <w:spacing w:line="220" w:lineRule="exact"/>
              <w:jc w:val="center"/>
              <w:rPr>
                <w:rFonts w:ascii="ＭＳ 明朝" w:hAnsi="ＭＳ 明朝"/>
                <w:szCs w:val="20"/>
              </w:rPr>
            </w:pPr>
            <w:r>
              <w:rPr>
                <w:rFonts w:hint="eastAsia"/>
                <w:szCs w:val="20"/>
              </w:rPr>
              <w:t>持続性アンジオテンシン変換酵素阻害剤</w:t>
            </w:r>
          </w:p>
        </w:tc>
      </w:tr>
      <w:tr w:rsidR="00221720" w14:paraId="2A6410BD" w14:textId="77777777" w:rsidTr="00E62F46">
        <w:trPr>
          <w:trHeight w:val="1020"/>
        </w:trPr>
        <w:tc>
          <w:tcPr>
            <w:tcW w:w="778" w:type="pct"/>
            <w:vAlign w:val="center"/>
          </w:tcPr>
          <w:p w14:paraId="7C61CF37"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効能・効果</w:t>
            </w:r>
          </w:p>
        </w:tc>
        <w:tc>
          <w:tcPr>
            <w:tcW w:w="4222" w:type="pct"/>
            <w:gridSpan w:val="2"/>
            <w:vAlign w:val="center"/>
          </w:tcPr>
          <w:p w14:paraId="4F57686B" w14:textId="77777777" w:rsidR="00221720" w:rsidRPr="00D407D5" w:rsidRDefault="00221720" w:rsidP="00221720">
            <w:pPr>
              <w:spacing w:line="240" w:lineRule="exact"/>
              <w:ind w:left="312" w:hanging="312"/>
              <w:rPr>
                <w:szCs w:val="20"/>
              </w:rPr>
            </w:pPr>
            <w:r w:rsidRPr="00D407D5">
              <w:rPr>
                <w:rFonts w:hint="eastAsia"/>
                <w:szCs w:val="20"/>
              </w:rPr>
              <w:t>1</w:t>
            </w:r>
            <w:r w:rsidRPr="00D407D5">
              <w:rPr>
                <w:rFonts w:hint="eastAsia"/>
                <w:szCs w:val="20"/>
              </w:rPr>
              <w:t>．</w:t>
            </w:r>
            <w:r>
              <w:rPr>
                <w:szCs w:val="20"/>
              </w:rPr>
              <w:tab/>
            </w:r>
            <w:r w:rsidRPr="00D407D5">
              <w:rPr>
                <w:rFonts w:hint="eastAsia"/>
                <w:szCs w:val="20"/>
              </w:rPr>
              <w:t>本態性高血圧症、腎性高血圧症、腎血管性高血圧症、悪性高血圧</w:t>
            </w:r>
          </w:p>
          <w:p w14:paraId="674DAFF4" w14:textId="77777777" w:rsidR="00221720" w:rsidRPr="00D407D5" w:rsidRDefault="00221720" w:rsidP="00221720">
            <w:pPr>
              <w:spacing w:line="240" w:lineRule="exact"/>
              <w:ind w:left="312" w:hanging="312"/>
              <w:rPr>
                <w:szCs w:val="20"/>
              </w:rPr>
            </w:pPr>
            <w:r w:rsidRPr="00D407D5">
              <w:rPr>
                <w:rFonts w:hint="eastAsia"/>
                <w:szCs w:val="20"/>
              </w:rPr>
              <w:t>2</w:t>
            </w:r>
            <w:r w:rsidRPr="00D407D5">
              <w:rPr>
                <w:rFonts w:hint="eastAsia"/>
                <w:szCs w:val="20"/>
              </w:rPr>
              <w:t>．</w:t>
            </w:r>
            <w:r>
              <w:rPr>
                <w:szCs w:val="20"/>
              </w:rPr>
              <w:tab/>
            </w:r>
            <w:r w:rsidRPr="00D407D5">
              <w:rPr>
                <w:rFonts w:hint="eastAsia"/>
                <w:szCs w:val="20"/>
              </w:rPr>
              <w:t>下記の状態で、ジギタリス製剤、利尿剤等の基礎治療剤を投与しても十分な効果が認められない場合</w:t>
            </w:r>
            <w:r>
              <w:rPr>
                <w:szCs w:val="20"/>
              </w:rPr>
              <w:br/>
            </w:r>
            <w:r>
              <w:rPr>
                <w:rFonts w:hint="eastAsia"/>
                <w:szCs w:val="20"/>
              </w:rPr>
              <w:t xml:space="preserve">　</w:t>
            </w:r>
            <w:r w:rsidRPr="00D407D5">
              <w:rPr>
                <w:rFonts w:hint="eastAsia"/>
                <w:szCs w:val="20"/>
              </w:rPr>
              <w:t>慢性心不全（軽症～中等症）</w:t>
            </w:r>
          </w:p>
        </w:tc>
      </w:tr>
      <w:tr w:rsidR="00221720" w14:paraId="5481067A" w14:textId="77777777" w:rsidTr="00E62F46">
        <w:trPr>
          <w:trHeight w:val="3175"/>
        </w:trPr>
        <w:tc>
          <w:tcPr>
            <w:tcW w:w="778" w:type="pct"/>
            <w:vAlign w:val="center"/>
          </w:tcPr>
          <w:p w14:paraId="5BE2E81E"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用法・用量</w:t>
            </w:r>
          </w:p>
        </w:tc>
        <w:tc>
          <w:tcPr>
            <w:tcW w:w="4222" w:type="pct"/>
            <w:gridSpan w:val="2"/>
            <w:vAlign w:val="center"/>
          </w:tcPr>
          <w:p w14:paraId="2AEFAF5A" w14:textId="77777777" w:rsidR="00221720" w:rsidRDefault="00221720" w:rsidP="00221720">
            <w:pPr>
              <w:spacing w:line="220" w:lineRule="exact"/>
              <w:ind w:left="312" w:hanging="312"/>
            </w:pPr>
            <w:r>
              <w:rPr>
                <w:rFonts w:hint="eastAsia"/>
              </w:rPr>
              <w:t>1</w:t>
            </w:r>
            <w:r>
              <w:rPr>
                <w:rFonts w:hint="eastAsia"/>
              </w:rPr>
              <w:t>．</w:t>
            </w:r>
            <w:r>
              <w:tab/>
            </w:r>
            <w:r w:rsidRPr="0067606E">
              <w:rPr>
                <w:rFonts w:ascii="ＭＳ ゴシック" w:eastAsia="ＭＳ ゴシック" w:hAnsi="ＭＳ ゴシック" w:hint="eastAsia"/>
              </w:rPr>
              <w:t>高血圧症</w:t>
            </w:r>
          </w:p>
          <w:p w14:paraId="4826CB1D" w14:textId="77777777" w:rsidR="00221720" w:rsidRDefault="00221720" w:rsidP="00221720">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134AF2F3" w14:textId="77777777" w:rsidR="00221720" w:rsidRDefault="00221720" w:rsidP="00221720">
            <w:pPr>
              <w:spacing w:line="220" w:lineRule="exact"/>
              <w:ind w:left="312"/>
              <w:jc w:val="both"/>
            </w:pPr>
            <w:r>
              <w:rPr>
                <w:rFonts w:hint="eastAsia"/>
              </w:rPr>
              <w:t>なお、年齢、症状により適宜増減する。</w:t>
            </w:r>
          </w:p>
          <w:p w14:paraId="3D571ED5" w14:textId="77777777" w:rsidR="00221720" w:rsidRDefault="00221720" w:rsidP="00221720">
            <w:pPr>
              <w:spacing w:line="220" w:lineRule="exact"/>
              <w:ind w:left="312"/>
              <w:jc w:val="both"/>
            </w:pPr>
            <w:r>
              <w:rPr>
                <w:rFonts w:hint="eastAsia"/>
              </w:rPr>
              <w:t>但し、腎性・腎血管性高血圧症又は悪性高血圧の患者では</w:t>
            </w:r>
            <w:r>
              <w:rPr>
                <w:rFonts w:hint="eastAsia"/>
              </w:rPr>
              <w:t>2.5mg</w:t>
            </w:r>
            <w:r>
              <w:rPr>
                <w:rFonts w:hint="eastAsia"/>
              </w:rPr>
              <w:t>から投与を開始することが望ましい。</w:t>
            </w:r>
          </w:p>
          <w:p w14:paraId="5246A0F4" w14:textId="77777777" w:rsidR="00221720" w:rsidRDefault="00221720" w:rsidP="00221720">
            <w:pPr>
              <w:spacing w:line="220" w:lineRule="exact"/>
              <w:ind w:left="312"/>
              <w:jc w:val="both"/>
              <w:rPr>
                <w:szCs w:val="20"/>
              </w:rPr>
            </w:pPr>
            <w:r w:rsidRPr="00D42DA9">
              <w:rPr>
                <w:rFonts w:ascii="ＭＳ 明朝" w:hAnsi="ＭＳ 明朝" w:hint="eastAsia"/>
                <w:szCs w:val="20"/>
              </w:rPr>
              <w:t>通常、</w:t>
            </w:r>
            <w:r w:rsidRPr="00D42DA9">
              <w:rPr>
                <w:rFonts w:hint="eastAsia"/>
                <w:szCs w:val="20"/>
              </w:rPr>
              <w:t>生後</w:t>
            </w:r>
            <w:r w:rsidRPr="00D42DA9">
              <w:rPr>
                <w:rFonts w:hint="eastAsia"/>
                <w:szCs w:val="20"/>
              </w:rPr>
              <w:t>1</w:t>
            </w:r>
            <w:r w:rsidRPr="00D42DA9">
              <w:rPr>
                <w:rFonts w:hint="eastAsia"/>
                <w:szCs w:val="20"/>
              </w:rPr>
              <w:t>ヵ月</w:t>
            </w:r>
            <w:r w:rsidRPr="00D42DA9">
              <w:rPr>
                <w:rFonts w:ascii="ＭＳ 明朝" w:hAnsi="ＭＳ 明朝" w:hint="eastAsia"/>
                <w:szCs w:val="20"/>
              </w:rPr>
              <w:t>以上の小児には、エナラプリルマレイン酸として</w:t>
            </w:r>
            <w:r w:rsidRPr="00D42DA9">
              <w:rPr>
                <w:szCs w:val="20"/>
              </w:rPr>
              <w:t>0.08mg/kg</w:t>
            </w:r>
            <w:r w:rsidRPr="00D42DA9">
              <w:rPr>
                <w:rFonts w:hint="eastAsia"/>
                <w:szCs w:val="20"/>
              </w:rPr>
              <w:t>を</w:t>
            </w:r>
            <w:r w:rsidRPr="00D42DA9">
              <w:rPr>
                <w:szCs w:val="20"/>
              </w:rPr>
              <w:t>1</w:t>
            </w:r>
            <w:r w:rsidRPr="00D42DA9">
              <w:rPr>
                <w:rFonts w:hint="eastAsia"/>
                <w:szCs w:val="20"/>
              </w:rPr>
              <w:t>日</w:t>
            </w:r>
            <w:r w:rsidRPr="00D42DA9">
              <w:rPr>
                <w:szCs w:val="20"/>
              </w:rPr>
              <w:t>1</w:t>
            </w:r>
            <w:r w:rsidRPr="00D42DA9">
              <w:rPr>
                <w:rFonts w:hint="eastAsia"/>
                <w:szCs w:val="20"/>
              </w:rPr>
              <w:t>回経口投与する。</w:t>
            </w:r>
          </w:p>
          <w:p w14:paraId="7A9986BB" w14:textId="77777777" w:rsidR="00221720" w:rsidRDefault="00221720" w:rsidP="00221720">
            <w:pPr>
              <w:spacing w:line="220" w:lineRule="exact"/>
              <w:ind w:left="312"/>
              <w:jc w:val="both"/>
            </w:pPr>
            <w:r w:rsidRPr="00D42DA9">
              <w:rPr>
                <w:rFonts w:ascii="ＭＳ 明朝" w:hAnsi="ＭＳ 明朝" w:hint="eastAsia"/>
                <w:szCs w:val="20"/>
              </w:rPr>
              <w:t>なお、年齢、症状により適宜減量する。</w:t>
            </w:r>
          </w:p>
          <w:p w14:paraId="6ED2A8D2" w14:textId="77777777" w:rsidR="00221720" w:rsidRDefault="00221720" w:rsidP="00221720">
            <w:pPr>
              <w:spacing w:line="220" w:lineRule="exact"/>
              <w:ind w:left="312" w:hanging="312"/>
            </w:pPr>
            <w:r>
              <w:rPr>
                <w:rFonts w:hint="eastAsia"/>
              </w:rPr>
              <w:t>2</w:t>
            </w:r>
            <w:r>
              <w:rPr>
                <w:rFonts w:hint="eastAsia"/>
              </w:rPr>
              <w:t>．</w:t>
            </w:r>
            <w:r>
              <w:tab/>
            </w:r>
            <w:r w:rsidRPr="0067606E">
              <w:rPr>
                <w:rFonts w:ascii="ＭＳ ゴシック" w:eastAsia="ＭＳ ゴシック" w:hAnsi="ＭＳ ゴシック" w:hint="eastAsia"/>
              </w:rPr>
              <w:t>慢性心不全（軽症～中等症）</w:t>
            </w:r>
          </w:p>
          <w:p w14:paraId="22A367EB" w14:textId="77777777" w:rsidR="00221720" w:rsidRDefault="00221720" w:rsidP="00221720">
            <w:pPr>
              <w:spacing w:line="220" w:lineRule="exact"/>
              <w:ind w:left="312"/>
              <w:jc w:val="both"/>
            </w:pPr>
            <w:r>
              <w:rPr>
                <w:rFonts w:hint="eastAsia"/>
              </w:rPr>
              <w:t>本剤はジギタリス製剤、利尿剤等と併用すること。</w:t>
            </w:r>
          </w:p>
          <w:p w14:paraId="71D65DF0" w14:textId="77777777" w:rsidR="00221720" w:rsidRDefault="00221720" w:rsidP="00221720">
            <w:pPr>
              <w:spacing w:line="220" w:lineRule="exact"/>
              <w:ind w:left="312"/>
              <w:jc w:val="both"/>
            </w:pPr>
            <w:r>
              <w:rPr>
                <w:rFonts w:hint="eastAsia"/>
              </w:rPr>
              <w:t>通常、成人に対しエナラプリルマレイン酸塩として</w:t>
            </w:r>
            <w:r>
              <w:rPr>
                <w:rFonts w:hint="eastAsia"/>
              </w:rPr>
              <w:t>5</w:t>
            </w:r>
            <w:r>
              <w:rPr>
                <w:rFonts w:hint="eastAsia"/>
              </w:rPr>
              <w:t>～</w:t>
            </w:r>
            <w:r>
              <w:rPr>
                <w:rFonts w:hint="eastAsia"/>
              </w:rPr>
              <w:t>10mg</w:t>
            </w:r>
            <w:r>
              <w:rPr>
                <w:rFonts w:hint="eastAsia"/>
              </w:rPr>
              <w:t>を</w:t>
            </w:r>
            <w:r>
              <w:rPr>
                <w:rFonts w:hint="eastAsia"/>
              </w:rPr>
              <w:t>1</w:t>
            </w:r>
            <w:r>
              <w:rPr>
                <w:rFonts w:hint="eastAsia"/>
              </w:rPr>
              <w:t>日</w:t>
            </w:r>
            <w:r>
              <w:rPr>
                <w:rFonts w:hint="eastAsia"/>
              </w:rPr>
              <w:t>1</w:t>
            </w:r>
            <w:r>
              <w:rPr>
                <w:rFonts w:hint="eastAsia"/>
              </w:rPr>
              <w:t>回経口投与する。</w:t>
            </w:r>
          </w:p>
          <w:p w14:paraId="47DEA989" w14:textId="77777777" w:rsidR="00221720" w:rsidRDefault="00221720" w:rsidP="00221720">
            <w:pPr>
              <w:spacing w:line="220" w:lineRule="exact"/>
              <w:ind w:left="312"/>
              <w:jc w:val="both"/>
            </w:pPr>
            <w:r>
              <w:rPr>
                <w:rFonts w:hint="eastAsia"/>
              </w:rPr>
              <w:t>なお、年齢、症状により適宜増減する。</w:t>
            </w:r>
          </w:p>
          <w:p w14:paraId="441AD598" w14:textId="77777777" w:rsidR="00221720" w:rsidRPr="00AD0777" w:rsidRDefault="00221720" w:rsidP="00221720">
            <w:pPr>
              <w:spacing w:line="220" w:lineRule="exact"/>
              <w:ind w:left="312"/>
              <w:jc w:val="both"/>
            </w:pPr>
            <w:r>
              <w:rPr>
                <w:rFonts w:hint="eastAsia"/>
              </w:rPr>
              <w:t>但し、腎障害を伴う患者又は利尿剤投与中の患者では</w:t>
            </w:r>
            <w:r>
              <w:rPr>
                <w:rFonts w:hint="eastAsia"/>
              </w:rPr>
              <w:t>2.5mg</w:t>
            </w:r>
            <w:r>
              <w:rPr>
                <w:rFonts w:hint="eastAsia"/>
              </w:rPr>
              <w:t>（初回量）から投与を開始することが望ましい。</w:t>
            </w:r>
          </w:p>
        </w:tc>
      </w:tr>
      <w:tr w:rsidR="00221720" w14:paraId="6D55DC45" w14:textId="77777777" w:rsidTr="00E62F46">
        <w:trPr>
          <w:trHeight w:hRule="exact" w:val="1757"/>
        </w:trPr>
        <w:tc>
          <w:tcPr>
            <w:tcW w:w="778" w:type="pct"/>
            <w:tcBorders>
              <w:bottom w:val="single" w:sz="4" w:space="0" w:color="auto"/>
            </w:tcBorders>
            <w:vAlign w:val="center"/>
          </w:tcPr>
          <w:p w14:paraId="74E2637D"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製品の性状</w:t>
            </w:r>
          </w:p>
        </w:tc>
        <w:tc>
          <w:tcPr>
            <w:tcW w:w="2111" w:type="pct"/>
            <w:tcBorders>
              <w:bottom w:val="single" w:sz="4" w:space="0" w:color="auto"/>
            </w:tcBorders>
            <w:tcMar>
              <w:right w:w="0" w:type="dxa"/>
            </w:tcMar>
          </w:tcPr>
          <w:p w14:paraId="2C0FA534" w14:textId="77777777" w:rsidR="00221720" w:rsidRPr="00E042E7" w:rsidRDefault="00221720" w:rsidP="00221720">
            <w:r w:rsidRPr="00E042E7">
              <w:rPr>
                <w:rFonts w:hint="eastAsia"/>
              </w:rPr>
              <w:t>うすい桃色の割線入り素錠</w:t>
            </w:r>
          </w:p>
          <w:tbl>
            <w:tblPr>
              <w:tblW w:w="4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35"/>
              <w:gridCol w:w="729"/>
              <w:gridCol w:w="964"/>
              <w:gridCol w:w="1240"/>
              <w:gridCol w:w="69"/>
            </w:tblGrid>
            <w:tr w:rsidR="00221720" w:rsidRPr="003751DB" w14:paraId="54240CC9" w14:textId="77777777" w:rsidTr="00DD3819">
              <w:trPr>
                <w:trHeight w:val="257"/>
              </w:trPr>
              <w:tc>
                <w:tcPr>
                  <w:tcW w:w="964" w:type="dxa"/>
                  <w:shd w:val="clear" w:color="auto" w:fill="auto"/>
                  <w:vAlign w:val="center"/>
                </w:tcPr>
                <w:p w14:paraId="6F4179DB"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4" w:type="dxa"/>
                  <w:gridSpan w:val="2"/>
                  <w:shd w:val="clear" w:color="auto" w:fill="auto"/>
                  <w:vAlign w:val="center"/>
                </w:tcPr>
                <w:p w14:paraId="3DECA8B7"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4" w:type="dxa"/>
                  <w:shd w:val="clear" w:color="auto" w:fill="auto"/>
                  <w:vAlign w:val="center"/>
                </w:tcPr>
                <w:p w14:paraId="3B114C86" w14:textId="77777777" w:rsidR="00221720" w:rsidRPr="00046BCC" w:rsidRDefault="00221720" w:rsidP="00221720">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309" w:type="dxa"/>
                  <w:gridSpan w:val="2"/>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21B17491" w14:textId="77777777" w:rsidR="00221720" w:rsidRPr="00DE468F" w:rsidRDefault="00221720" w:rsidP="00DD3819">
                  <w:pPr>
                    <w:rPr>
                      <w:szCs w:val="20"/>
                    </w:rPr>
                  </w:pPr>
                  <w:r w:rsidRPr="00DE468F">
                    <w:rPr>
                      <w:rFonts w:hint="eastAsia"/>
                      <w:szCs w:val="20"/>
                    </w:rPr>
                    <w:t>直径：</w:t>
                  </w:r>
                  <w:r>
                    <w:rPr>
                      <w:rFonts w:hint="eastAsia"/>
                      <w:szCs w:val="20"/>
                    </w:rPr>
                    <w:t>7.0</w:t>
                  </w:r>
                  <w:r w:rsidRPr="00DE468F">
                    <w:rPr>
                      <w:rFonts w:hint="eastAsia"/>
                      <w:szCs w:val="20"/>
                    </w:rPr>
                    <w:t>mm</w:t>
                  </w:r>
                </w:p>
                <w:p w14:paraId="2FD1A7E2" w14:textId="77777777" w:rsidR="00221720" w:rsidRPr="00DE468F" w:rsidRDefault="00221720" w:rsidP="00DD3819">
                  <w:pPr>
                    <w:rPr>
                      <w:szCs w:val="20"/>
                    </w:rPr>
                  </w:pPr>
                  <w:r w:rsidRPr="00DE468F">
                    <w:rPr>
                      <w:rFonts w:hint="eastAsia"/>
                      <w:szCs w:val="20"/>
                    </w:rPr>
                    <w:t>厚さ：</w:t>
                  </w:r>
                  <w:r w:rsidRPr="00B820A0">
                    <w:rPr>
                      <w:rFonts w:hint="eastAsia"/>
                      <w:szCs w:val="20"/>
                    </w:rPr>
                    <w:t>2.2mm</w:t>
                  </w:r>
                </w:p>
                <w:p w14:paraId="19224E57" w14:textId="77777777" w:rsidR="00221720" w:rsidRPr="003751DB" w:rsidRDefault="00221720" w:rsidP="00DD3819">
                  <w:pPr>
                    <w:rPr>
                      <w:color w:val="FF0000"/>
                    </w:rPr>
                  </w:pPr>
                  <w:r w:rsidRPr="00DE468F">
                    <w:rPr>
                      <w:rFonts w:hint="eastAsia"/>
                      <w:szCs w:val="20"/>
                    </w:rPr>
                    <w:t>重量：</w:t>
                  </w:r>
                  <w:r>
                    <w:rPr>
                      <w:rFonts w:hint="eastAsia"/>
                      <w:szCs w:val="20"/>
                    </w:rPr>
                    <w:t>110</w:t>
                  </w:r>
                  <w:r w:rsidRPr="00DE468F">
                    <w:rPr>
                      <w:rFonts w:hint="eastAsia"/>
                      <w:szCs w:val="20"/>
                    </w:rPr>
                    <w:t>mg</w:t>
                  </w:r>
                </w:p>
              </w:tc>
            </w:tr>
            <w:tr w:rsidR="00221720" w:rsidRPr="003751DB" w14:paraId="4C7D174E" w14:textId="77777777" w:rsidTr="00DD3819">
              <w:trPr>
                <w:trHeight w:hRule="exact" w:val="975"/>
              </w:trPr>
              <w:tc>
                <w:tcPr>
                  <w:tcW w:w="964" w:type="dxa"/>
                  <w:shd w:val="clear" w:color="auto" w:fill="auto"/>
                  <w:tcMar>
                    <w:left w:w="20" w:type="dxa"/>
                    <w:right w:w="20" w:type="dxa"/>
                  </w:tcMar>
                  <w:vAlign w:val="center"/>
                </w:tcPr>
                <w:p w14:paraId="060B692B" w14:textId="55570C34" w:rsidR="00221720" w:rsidRPr="00A565FC" w:rsidRDefault="00B715B5" w:rsidP="00221720">
                  <w:pPr>
                    <w:ind w:leftChars="-11" w:left="-10" w:rightChars="-9" w:right="-17" w:hangingChars="6" w:hanging="11"/>
                    <w:jc w:val="center"/>
                  </w:pPr>
                  <w:r>
                    <w:rPr>
                      <w:noProof/>
                    </w:rPr>
                    <w:drawing>
                      <wp:inline distT="0" distB="0" distL="0" distR="0" wp14:anchorId="734051FB" wp14:editId="10E81FBE">
                        <wp:extent cx="60960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69559"/>
                                <a:stretch>
                                  <a:fillRect/>
                                </a:stretch>
                              </pic:blipFill>
                              <pic:spPr bwMode="auto">
                                <a:xfrm>
                                  <a:off x="0" y="0"/>
                                  <a:ext cx="609600" cy="609600"/>
                                </a:xfrm>
                                <a:prstGeom prst="rect">
                                  <a:avLst/>
                                </a:prstGeom>
                                <a:noFill/>
                                <a:ln>
                                  <a:noFill/>
                                </a:ln>
                                <a:effectLst/>
                              </pic:spPr>
                            </pic:pic>
                          </a:graphicData>
                        </a:graphic>
                      </wp:inline>
                    </w:drawing>
                  </w:r>
                </w:p>
              </w:tc>
              <w:tc>
                <w:tcPr>
                  <w:tcW w:w="964" w:type="dxa"/>
                  <w:gridSpan w:val="2"/>
                  <w:shd w:val="clear" w:color="auto" w:fill="auto"/>
                  <w:vAlign w:val="center"/>
                </w:tcPr>
                <w:p w14:paraId="7ECE4A8B" w14:textId="7A48C7C4" w:rsidR="00221720" w:rsidRPr="00A565FC" w:rsidRDefault="00B715B5" w:rsidP="00221720">
                  <w:pPr>
                    <w:ind w:leftChars="-58" w:left="-4" w:rightChars="-56" w:right="-107" w:hangingChars="56" w:hanging="107"/>
                    <w:jc w:val="center"/>
                  </w:pPr>
                  <w:r>
                    <w:rPr>
                      <w:noProof/>
                    </w:rPr>
                    <w:drawing>
                      <wp:inline distT="0" distB="0" distL="0" distR="0" wp14:anchorId="05960778" wp14:editId="632EAE78">
                        <wp:extent cx="600075"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5333" r="34920"/>
                                <a:stretch>
                                  <a:fillRect/>
                                </a:stretch>
                              </pic:blipFill>
                              <pic:spPr bwMode="auto">
                                <a:xfrm>
                                  <a:off x="0" y="0"/>
                                  <a:ext cx="600075" cy="609600"/>
                                </a:xfrm>
                                <a:prstGeom prst="rect">
                                  <a:avLst/>
                                </a:prstGeom>
                                <a:noFill/>
                                <a:ln>
                                  <a:noFill/>
                                </a:ln>
                                <a:effectLst/>
                              </pic:spPr>
                            </pic:pic>
                          </a:graphicData>
                        </a:graphic>
                      </wp:inline>
                    </w:drawing>
                  </w:r>
                </w:p>
              </w:tc>
              <w:tc>
                <w:tcPr>
                  <w:tcW w:w="964" w:type="dxa"/>
                  <w:shd w:val="clear" w:color="auto" w:fill="auto"/>
                  <w:vAlign w:val="center"/>
                </w:tcPr>
                <w:p w14:paraId="4B0EB1FA" w14:textId="69EE4384" w:rsidR="00221720" w:rsidRPr="00A565FC" w:rsidRDefault="00B715B5" w:rsidP="00221720">
                  <w:pPr>
                    <w:ind w:leftChars="-57" w:left="-6" w:rightChars="-56" w:right="-107" w:hangingChars="54" w:hanging="103"/>
                    <w:jc w:val="right"/>
                  </w:pPr>
                  <w:r>
                    <w:rPr>
                      <w:noProof/>
                    </w:rPr>
                    <w:drawing>
                      <wp:inline distT="0" distB="0" distL="0" distR="0" wp14:anchorId="67A92EAE" wp14:editId="12628E00">
                        <wp:extent cx="600075" cy="600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5949" r="8388"/>
                                <a:stretch>
                                  <a:fillRect/>
                                </a:stretch>
                              </pic:blipFill>
                              <pic:spPr bwMode="auto">
                                <a:xfrm>
                                  <a:off x="0" y="0"/>
                                  <a:ext cx="600075" cy="600075"/>
                                </a:xfrm>
                                <a:prstGeom prst="rect">
                                  <a:avLst/>
                                </a:prstGeom>
                                <a:noFill/>
                                <a:ln>
                                  <a:noFill/>
                                </a:ln>
                              </pic:spPr>
                            </pic:pic>
                          </a:graphicData>
                        </a:graphic>
                      </wp:inline>
                    </w:drawing>
                  </w:r>
                </w:p>
              </w:tc>
              <w:tc>
                <w:tcPr>
                  <w:tcW w:w="1309" w:type="dxa"/>
                  <w:gridSpan w:val="2"/>
                  <w:vMerge/>
                  <w:tcBorders>
                    <w:bottom w:val="single" w:sz="4" w:space="0" w:color="FFFFFF"/>
                    <w:right w:val="single" w:sz="4" w:space="0" w:color="FFFFFF"/>
                  </w:tcBorders>
                  <w:shd w:val="clear" w:color="auto" w:fill="auto"/>
                  <w:vAlign w:val="center"/>
                </w:tcPr>
                <w:p w14:paraId="0DCEAADA" w14:textId="77777777" w:rsidR="00221720" w:rsidRPr="003751DB" w:rsidRDefault="00221720" w:rsidP="00221720">
                  <w:pPr>
                    <w:rPr>
                      <w:color w:val="FF0000"/>
                    </w:rPr>
                  </w:pPr>
                </w:p>
              </w:tc>
            </w:tr>
            <w:tr w:rsidR="00221720" w:rsidRPr="004A035A" w14:paraId="77A6159C" w14:textId="77777777" w:rsidTr="00DD3819">
              <w:trPr>
                <w:gridAfter w:val="1"/>
                <w:wAfter w:w="69" w:type="dxa"/>
                <w:trHeight w:hRule="exact" w:val="403"/>
              </w:trPr>
              <w:tc>
                <w:tcPr>
                  <w:tcW w:w="119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5F3E852" w14:textId="77777777" w:rsidR="00221720" w:rsidRPr="004D5187" w:rsidRDefault="00221720" w:rsidP="00221720">
                  <w:pPr>
                    <w:ind w:left="-57" w:right="-57" w:firstLineChars="42" w:firstLine="80"/>
                    <w:rPr>
                      <w:noProof/>
                      <w:szCs w:val="20"/>
                    </w:rPr>
                  </w:pPr>
                  <w:r w:rsidRPr="004D5187">
                    <w:rPr>
                      <w:rFonts w:hint="eastAsia"/>
                      <w:noProof/>
                      <w:szCs w:val="20"/>
                    </w:rPr>
                    <w:t>識別コード：</w:t>
                  </w:r>
                </w:p>
              </w:tc>
              <w:tc>
                <w:tcPr>
                  <w:tcW w:w="2933"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9247B97" w14:textId="77777777" w:rsidR="00221720" w:rsidRPr="004D5187" w:rsidRDefault="00221720" w:rsidP="00221720">
                  <w:pPr>
                    <w:rPr>
                      <w:szCs w:val="20"/>
                    </w:rPr>
                  </w:pPr>
                  <w:r>
                    <w:rPr>
                      <w:rFonts w:hint="eastAsia"/>
                      <w:szCs w:val="20"/>
                    </w:rPr>
                    <w:t>NS</w:t>
                  </w:r>
                  <w:r>
                    <w:rPr>
                      <w:rFonts w:hint="eastAsia"/>
                      <w:szCs w:val="20"/>
                    </w:rPr>
                    <w:t xml:space="preserve">　</w:t>
                  </w:r>
                  <w:r>
                    <w:rPr>
                      <w:rFonts w:hint="eastAsia"/>
                      <w:szCs w:val="20"/>
                    </w:rPr>
                    <w:t>502</w:t>
                  </w:r>
                </w:p>
              </w:tc>
            </w:tr>
          </w:tbl>
          <w:p w14:paraId="399805FF" w14:textId="77777777" w:rsidR="00221720" w:rsidRPr="00866A4E" w:rsidRDefault="00221720" w:rsidP="00221720">
            <w:pPr>
              <w:spacing w:before="40"/>
              <w:rPr>
                <w:rFonts w:ascii="ＭＳ 明朝" w:hAnsi="ＭＳ 明朝"/>
              </w:rPr>
            </w:pPr>
          </w:p>
        </w:tc>
        <w:tc>
          <w:tcPr>
            <w:tcW w:w="2112" w:type="pct"/>
            <w:tcBorders>
              <w:bottom w:val="single" w:sz="4" w:space="0" w:color="auto"/>
            </w:tcBorders>
          </w:tcPr>
          <w:p w14:paraId="182AD916" w14:textId="77777777" w:rsidR="00221720" w:rsidRPr="00457302" w:rsidRDefault="00221720" w:rsidP="00221720">
            <w:r w:rsidRPr="00457302">
              <w:rPr>
                <w:rFonts w:hint="eastAsia"/>
              </w:rPr>
              <w:t>うすい桃色の割線入り裸錠</w:t>
            </w:r>
          </w:p>
          <w:p w14:paraId="3ED6E57A" w14:textId="77777777" w:rsidR="00221720" w:rsidRPr="00457302" w:rsidRDefault="00221720" w:rsidP="00221720">
            <w:pPr>
              <w:rPr>
                <w:szCs w:val="20"/>
              </w:rPr>
            </w:pPr>
            <w:r w:rsidRPr="00457302">
              <w:rPr>
                <w:rFonts w:hint="eastAsia"/>
                <w:szCs w:val="20"/>
              </w:rPr>
              <w:t>直径：</w:t>
            </w:r>
            <w:r w:rsidRPr="00457302">
              <w:rPr>
                <w:rFonts w:hint="eastAsia"/>
                <w:szCs w:val="20"/>
              </w:rPr>
              <w:t>6.4mm</w:t>
            </w:r>
            <w:r>
              <w:rPr>
                <w:rFonts w:hint="eastAsia"/>
                <w:szCs w:val="20"/>
              </w:rPr>
              <w:t xml:space="preserve">　</w:t>
            </w:r>
            <w:r w:rsidRPr="00457302">
              <w:rPr>
                <w:szCs w:val="20"/>
              </w:rPr>
              <w:br/>
            </w:r>
            <w:r w:rsidRPr="00457302">
              <w:rPr>
                <w:rFonts w:hint="eastAsia"/>
                <w:szCs w:val="20"/>
              </w:rPr>
              <w:t>厚さ：</w:t>
            </w:r>
            <w:r w:rsidRPr="00457302">
              <w:rPr>
                <w:rFonts w:hint="eastAsia"/>
                <w:szCs w:val="20"/>
              </w:rPr>
              <w:t>2.3mm</w:t>
            </w:r>
            <w:r>
              <w:rPr>
                <w:rFonts w:hint="eastAsia"/>
                <w:szCs w:val="20"/>
              </w:rPr>
              <w:t xml:space="preserve">　</w:t>
            </w:r>
            <w:r w:rsidRPr="00457302">
              <w:rPr>
                <w:szCs w:val="20"/>
              </w:rPr>
              <w:br/>
            </w:r>
            <w:r w:rsidRPr="00457302">
              <w:rPr>
                <w:rFonts w:hint="eastAsia"/>
                <w:szCs w:val="20"/>
              </w:rPr>
              <w:t>重量：約</w:t>
            </w:r>
            <w:r w:rsidRPr="00457302">
              <w:rPr>
                <w:rFonts w:hint="eastAsia"/>
                <w:szCs w:val="20"/>
              </w:rPr>
              <w:t>100mg</w:t>
            </w:r>
            <w:r>
              <w:rPr>
                <w:rFonts w:hint="eastAsia"/>
                <w:szCs w:val="20"/>
              </w:rPr>
              <w:t xml:space="preserve">　</w:t>
            </w:r>
            <w:r w:rsidRPr="00457302">
              <w:rPr>
                <w:szCs w:val="20"/>
              </w:rPr>
              <w:br/>
            </w:r>
          </w:p>
          <w:p w14:paraId="552E53E8" w14:textId="77777777" w:rsidR="00221720" w:rsidRPr="00C44F81" w:rsidRDefault="00221720" w:rsidP="00221720">
            <w:pPr>
              <w:rPr>
                <w:rFonts w:ascii="ＭＳ 明朝" w:hAnsi="ＭＳ 明朝"/>
                <w:szCs w:val="20"/>
              </w:rPr>
            </w:pPr>
          </w:p>
        </w:tc>
      </w:tr>
      <w:tr w:rsidR="00221720" w14:paraId="1B48AE6D" w14:textId="77777777" w:rsidTr="00E62F46">
        <w:trPr>
          <w:trHeight w:hRule="exact" w:val="3772"/>
        </w:trPr>
        <w:tc>
          <w:tcPr>
            <w:tcW w:w="778" w:type="pct"/>
            <w:vAlign w:val="center"/>
          </w:tcPr>
          <w:p w14:paraId="6F7414EA"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先発品との</w:t>
            </w:r>
          </w:p>
          <w:p w14:paraId="535348FF" w14:textId="77777777" w:rsidR="00221720" w:rsidRPr="00075F31" w:rsidRDefault="00221720" w:rsidP="00221720">
            <w:pPr>
              <w:jc w:val="distribute"/>
              <w:rPr>
                <w:rFonts w:ascii="Arial" w:eastAsia="ＭＳ ゴシック" w:hAnsi="ＭＳ ゴシック"/>
              </w:rPr>
            </w:pPr>
            <w:r w:rsidRPr="00075F31">
              <w:rPr>
                <w:rFonts w:ascii="Arial" w:eastAsia="ＭＳ ゴシック" w:hAnsi="ＭＳ ゴシック" w:hint="eastAsia"/>
              </w:rPr>
              <w:t>同等性</w:t>
            </w:r>
          </w:p>
        </w:tc>
        <w:tc>
          <w:tcPr>
            <w:tcW w:w="2111" w:type="pct"/>
            <w:tcMar>
              <w:right w:w="0" w:type="dxa"/>
            </w:tcMar>
          </w:tcPr>
          <w:p w14:paraId="3D243F5F" w14:textId="77777777" w:rsidR="00221720" w:rsidRDefault="00221720" w:rsidP="00221720">
            <w:pPr>
              <w:jc w:val="both"/>
              <w:rPr>
                <w:rFonts w:ascii="Arial" w:eastAsia="ＭＳ ゴシック" w:hAnsi="Arial"/>
              </w:rPr>
            </w:pPr>
            <w:r w:rsidRPr="00075F31">
              <w:rPr>
                <w:rFonts w:ascii="Arial" w:eastAsia="ＭＳ ゴシック" w:hAnsi="Arial" w:hint="eastAsia"/>
              </w:rPr>
              <w:t xml:space="preserve">溶出試験（試験液：水　</w:t>
            </w:r>
            <w:r w:rsidRPr="00075F31">
              <w:rPr>
                <w:rFonts w:ascii="Arial" w:eastAsia="ＭＳ ゴシック" w:hAnsi="Arial" w:hint="eastAsia"/>
              </w:rPr>
              <w:t>50rpm</w:t>
            </w:r>
            <w:r w:rsidRPr="00075F31">
              <w:rPr>
                <w:rFonts w:ascii="Arial" w:eastAsia="ＭＳ ゴシック" w:hAnsi="Arial" w:hint="eastAsia"/>
              </w:rPr>
              <w:t>）</w:t>
            </w:r>
          </w:p>
          <w:p w14:paraId="329FE618" w14:textId="1551E0C7" w:rsidR="00221720" w:rsidRPr="00075F31" w:rsidRDefault="00B715B5" w:rsidP="00221720">
            <w:pPr>
              <w:ind w:leftChars="-41" w:hangingChars="41" w:hanging="78"/>
              <w:jc w:val="both"/>
              <w:rPr>
                <w:rFonts w:ascii="Arial" w:eastAsia="ＭＳ ゴシック" w:hAnsi="Arial"/>
              </w:rPr>
            </w:pPr>
            <w:r>
              <w:rPr>
                <w:noProof/>
              </w:rPr>
              <w:drawing>
                <wp:inline distT="0" distB="0" distL="0" distR="0" wp14:anchorId="6070A9DE" wp14:editId="628B4E90">
                  <wp:extent cx="2676525" cy="17907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790700"/>
                          </a:xfrm>
                          <a:prstGeom prst="rect">
                            <a:avLst/>
                          </a:prstGeom>
                          <a:noFill/>
                          <a:ln>
                            <a:noFill/>
                          </a:ln>
                        </pic:spPr>
                      </pic:pic>
                    </a:graphicData>
                  </a:graphic>
                </wp:inline>
              </w:drawing>
            </w:r>
          </w:p>
          <w:p w14:paraId="3B4B049B" w14:textId="77777777" w:rsidR="00221720" w:rsidRDefault="00221720" w:rsidP="00221720">
            <w:pPr>
              <w:spacing w:before="40"/>
              <w:ind w:rightChars="49" w:right="94"/>
              <w:jc w:val="both"/>
              <w:rPr>
                <w:rFonts w:hAnsi="ＭＳ 明朝"/>
                <w:szCs w:val="20"/>
              </w:rPr>
            </w:pPr>
            <w:r w:rsidRPr="00457302">
              <w:rPr>
                <w:rFonts w:hint="eastAsia"/>
                <w:sz w:val="16"/>
                <w:szCs w:val="16"/>
              </w:rPr>
              <w:t>「後発医薬品の生物学的同等性試験ガイドライン</w:t>
            </w:r>
            <w:r>
              <w:rPr>
                <w:rFonts w:hint="eastAsia"/>
                <w:sz w:val="16"/>
                <w:szCs w:val="16"/>
              </w:rPr>
              <w:t>」に基づき判定した結果</w:t>
            </w:r>
            <w:r w:rsidRPr="00457302">
              <w:rPr>
                <w:rFonts w:hint="eastAsia"/>
                <w:sz w:val="16"/>
                <w:szCs w:val="16"/>
              </w:rPr>
              <w:t>、両製剤</w:t>
            </w:r>
            <w:r>
              <w:rPr>
                <w:rFonts w:hint="eastAsia"/>
                <w:sz w:val="16"/>
                <w:szCs w:val="16"/>
              </w:rPr>
              <w:t>の</w:t>
            </w:r>
            <w:r w:rsidRPr="00457302">
              <w:rPr>
                <w:rFonts w:hint="eastAsia"/>
                <w:sz w:val="16"/>
                <w:szCs w:val="16"/>
              </w:rPr>
              <w:t>溶出挙動</w:t>
            </w:r>
            <w:r>
              <w:rPr>
                <w:rFonts w:hint="eastAsia"/>
                <w:sz w:val="16"/>
                <w:szCs w:val="16"/>
              </w:rPr>
              <w:t>は同等である</w:t>
            </w:r>
            <w:r w:rsidRPr="00457302">
              <w:rPr>
                <w:rFonts w:hint="eastAsia"/>
                <w:sz w:val="16"/>
                <w:szCs w:val="16"/>
              </w:rPr>
              <w:t>と判定された。</w:t>
            </w:r>
          </w:p>
          <w:p w14:paraId="47FC78A3" w14:textId="77777777" w:rsidR="00221720" w:rsidRPr="00375D12" w:rsidRDefault="00221720" w:rsidP="00221720">
            <w:pPr>
              <w:jc w:val="both"/>
              <w:rPr>
                <w:rFonts w:hAnsi="ＭＳ 明朝"/>
                <w:szCs w:val="20"/>
              </w:rPr>
            </w:pPr>
          </w:p>
        </w:tc>
        <w:tc>
          <w:tcPr>
            <w:tcW w:w="2112" w:type="pct"/>
            <w:tcMar>
              <w:right w:w="0" w:type="dxa"/>
            </w:tcMar>
          </w:tcPr>
          <w:p w14:paraId="3BACE63F" w14:textId="77777777" w:rsidR="00221720" w:rsidRDefault="00221720" w:rsidP="00221720">
            <w:pPr>
              <w:jc w:val="both"/>
              <w:rPr>
                <w:rFonts w:ascii="Arial" w:eastAsia="ＭＳ ゴシック"/>
                <w:noProof/>
              </w:rPr>
            </w:pPr>
            <w:r w:rsidRPr="004E34DB">
              <w:rPr>
                <w:rFonts w:ascii="Arial" w:eastAsia="ＭＳ ゴシック" w:hint="eastAsia"/>
                <w:noProof/>
              </w:rPr>
              <w:t>血中濃度比較試験（ヒト、空腹時）</w:t>
            </w:r>
          </w:p>
          <w:p w14:paraId="7309E157" w14:textId="40B212B7" w:rsidR="00221720" w:rsidRDefault="00B715B5" w:rsidP="00221720">
            <w:pPr>
              <w:ind w:leftChars="-50" w:hangingChars="50" w:hanging="96"/>
              <w:jc w:val="both"/>
              <w:rPr>
                <w:noProof/>
              </w:rPr>
            </w:pPr>
            <w:r>
              <w:rPr>
                <w:noProof/>
              </w:rPr>
              <w:drawing>
                <wp:inline distT="0" distB="0" distL="0" distR="0" wp14:anchorId="5D318FA0" wp14:editId="2745ED6C">
                  <wp:extent cx="2686050"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809750"/>
                          </a:xfrm>
                          <a:prstGeom prst="rect">
                            <a:avLst/>
                          </a:prstGeom>
                          <a:noFill/>
                          <a:ln>
                            <a:noFill/>
                          </a:ln>
                        </pic:spPr>
                      </pic:pic>
                    </a:graphicData>
                  </a:graphic>
                </wp:inline>
              </w:drawing>
            </w:r>
          </w:p>
          <w:p w14:paraId="5D16BA5E" w14:textId="77777777" w:rsidR="00221720" w:rsidRDefault="00221720" w:rsidP="00221720">
            <w:pPr>
              <w:ind w:rightChars="43" w:right="82"/>
              <w:jc w:val="both"/>
              <w:rPr>
                <w:rFonts w:hAnsi="ＭＳ 明朝"/>
                <w:szCs w:val="20"/>
              </w:rPr>
            </w:pPr>
            <w:r>
              <w:rPr>
                <w:rFonts w:hint="eastAsia"/>
                <w:sz w:val="16"/>
              </w:rPr>
              <w:t>「</w:t>
            </w:r>
            <w:r w:rsidRPr="00457302">
              <w:rPr>
                <w:rFonts w:hint="eastAsia"/>
                <w:sz w:val="16"/>
                <w:szCs w:val="16"/>
              </w:rPr>
              <w:t>後発医薬品の生物学的同等性試験ガイドライン</w:t>
            </w:r>
            <w:r>
              <w:rPr>
                <w:rFonts w:hint="eastAsia"/>
                <w:sz w:val="16"/>
              </w:rPr>
              <w:t>」</w:t>
            </w:r>
            <w:r w:rsidRPr="00457302">
              <w:rPr>
                <w:rFonts w:hint="eastAsia"/>
                <w:sz w:val="16"/>
              </w:rPr>
              <w:t>に基づき</w:t>
            </w:r>
            <w:r>
              <w:rPr>
                <w:rFonts w:hint="eastAsia"/>
                <w:sz w:val="16"/>
              </w:rPr>
              <w:t>判定した結果、</w:t>
            </w:r>
            <w:r w:rsidRPr="00457302">
              <w:rPr>
                <w:rFonts w:hint="eastAsia"/>
                <w:sz w:val="16"/>
              </w:rPr>
              <w:t>両製剤は生物学的に同等であると判定された。</w:t>
            </w:r>
          </w:p>
          <w:p w14:paraId="4BF89A6A" w14:textId="77777777" w:rsidR="00221720" w:rsidRPr="00375D12" w:rsidRDefault="00221720" w:rsidP="00221720">
            <w:pPr>
              <w:jc w:val="both"/>
              <w:rPr>
                <w:rFonts w:hAnsi="ＭＳ 明朝"/>
                <w:szCs w:val="20"/>
              </w:rPr>
            </w:pPr>
          </w:p>
        </w:tc>
      </w:tr>
      <w:tr w:rsidR="00221720" w14:paraId="50D617CB" w14:textId="77777777" w:rsidTr="00E62F46">
        <w:trPr>
          <w:trHeight w:hRule="exact" w:val="397"/>
        </w:trPr>
        <w:tc>
          <w:tcPr>
            <w:tcW w:w="778" w:type="pct"/>
            <w:tcBorders>
              <w:bottom w:val="single" w:sz="4" w:space="0" w:color="auto"/>
            </w:tcBorders>
            <w:vAlign w:val="center"/>
          </w:tcPr>
          <w:p w14:paraId="48D30CCA"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備考</w:t>
            </w:r>
          </w:p>
        </w:tc>
        <w:tc>
          <w:tcPr>
            <w:tcW w:w="4222" w:type="pct"/>
            <w:gridSpan w:val="2"/>
            <w:tcBorders>
              <w:bottom w:val="single" w:sz="4" w:space="0" w:color="auto"/>
            </w:tcBorders>
            <w:vAlign w:val="center"/>
          </w:tcPr>
          <w:p w14:paraId="639E7407" w14:textId="77777777" w:rsidR="00221720" w:rsidRPr="00512D05" w:rsidRDefault="00221720" w:rsidP="00221720"/>
        </w:tc>
      </w:tr>
      <w:tr w:rsidR="00221720" w14:paraId="179A13D0" w14:textId="77777777" w:rsidTr="00E62F46">
        <w:trPr>
          <w:trHeight w:hRule="exact" w:val="397"/>
        </w:trPr>
        <w:tc>
          <w:tcPr>
            <w:tcW w:w="778" w:type="pct"/>
            <w:vAlign w:val="center"/>
          </w:tcPr>
          <w:p w14:paraId="405BAC20" w14:textId="77777777" w:rsidR="00221720" w:rsidRPr="00075F31" w:rsidRDefault="00221720" w:rsidP="00221720">
            <w:pPr>
              <w:jc w:val="distribute"/>
              <w:rPr>
                <w:rFonts w:ascii="Arial" w:eastAsia="ＭＳ ゴシック" w:hAnsi="Arial"/>
              </w:rPr>
            </w:pPr>
            <w:r w:rsidRPr="00075F31">
              <w:rPr>
                <w:rFonts w:ascii="Arial" w:eastAsia="ＭＳ ゴシック" w:hAnsi="ＭＳ ゴシック" w:hint="eastAsia"/>
              </w:rPr>
              <w:t>担当者、連絡先</w:t>
            </w:r>
          </w:p>
        </w:tc>
        <w:tc>
          <w:tcPr>
            <w:tcW w:w="4222" w:type="pct"/>
            <w:gridSpan w:val="2"/>
            <w:vAlign w:val="center"/>
          </w:tcPr>
          <w:p w14:paraId="17E71840" w14:textId="77777777" w:rsidR="00221720" w:rsidRDefault="00221720" w:rsidP="00221720">
            <w:pPr>
              <w:rPr>
                <w:rFonts w:ascii="ＭＳ ゴシック" w:eastAsia="ＭＳ ゴシック" w:hAnsi="ＭＳ ゴシック"/>
                <w:sz w:val="22"/>
              </w:rPr>
            </w:pPr>
          </w:p>
        </w:tc>
      </w:tr>
    </w:tbl>
    <w:p w14:paraId="0CF6CDC2" w14:textId="03B21DD2" w:rsidR="00B23CE0" w:rsidRDefault="00446A9F" w:rsidP="00B23CE0">
      <w:pPr>
        <w:tabs>
          <w:tab w:val="right" w:pos="10149"/>
        </w:tabs>
        <w:jc w:val="right"/>
      </w:pPr>
      <w:r>
        <w:rPr>
          <w:rFonts w:hint="eastAsia"/>
        </w:rPr>
        <w:t>20</w:t>
      </w:r>
      <w:r w:rsidR="00B23CE0">
        <w:t>2</w:t>
      </w:r>
      <w:r w:rsidR="00B572E7">
        <w:rPr>
          <w:rFonts w:hint="eastAsia"/>
        </w:rPr>
        <w:t>4</w:t>
      </w:r>
      <w:r w:rsidR="008E4A0D">
        <w:rPr>
          <w:rFonts w:hint="eastAsia"/>
        </w:rPr>
        <w:t>年</w:t>
      </w:r>
      <w:r w:rsidR="001A2A33">
        <w:t>4</w:t>
      </w:r>
      <w:r w:rsidR="008E4A0D">
        <w:rPr>
          <w:rFonts w:hint="eastAsia"/>
        </w:rPr>
        <w:t>月</w:t>
      </w:r>
    </w:p>
    <w:sectPr w:rsidR="00B23CE0" w:rsidSect="00DB64CC">
      <w:headerReference w:type="default" r:id="rId12"/>
      <w:pgSz w:w="11906" w:h="16838" w:code="9"/>
      <w:pgMar w:top="567" w:right="737" w:bottom="567" w:left="1021" w:header="284"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AFC0" w14:textId="77777777" w:rsidR="002E51AC" w:rsidRDefault="002E51AC">
      <w:r>
        <w:separator/>
      </w:r>
    </w:p>
  </w:endnote>
  <w:endnote w:type="continuationSeparator" w:id="0">
    <w:p w14:paraId="6505EFBA" w14:textId="77777777" w:rsidR="002E51AC" w:rsidRDefault="002E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7C68" w14:textId="77777777" w:rsidR="002E51AC" w:rsidRDefault="002E51AC">
      <w:r>
        <w:separator/>
      </w:r>
    </w:p>
  </w:footnote>
  <w:footnote w:type="continuationSeparator" w:id="0">
    <w:p w14:paraId="6EA68A66" w14:textId="77777777" w:rsidR="002E51AC" w:rsidRDefault="002E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834E"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5171543">
    <w:abstractNumId w:val="0"/>
  </w:num>
  <w:num w:numId="2" w16cid:durableId="45837334">
    <w:abstractNumId w:val="3"/>
  </w:num>
  <w:num w:numId="3" w16cid:durableId="1100369397">
    <w:abstractNumId w:val="2"/>
  </w:num>
  <w:num w:numId="4" w16cid:durableId="47063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3CE8"/>
    <w:rsid w:val="00016D81"/>
    <w:rsid w:val="00020621"/>
    <w:rsid w:val="00044F24"/>
    <w:rsid w:val="00045C7F"/>
    <w:rsid w:val="00051DDA"/>
    <w:rsid w:val="00072815"/>
    <w:rsid w:val="00075F31"/>
    <w:rsid w:val="00081563"/>
    <w:rsid w:val="0008386E"/>
    <w:rsid w:val="00092809"/>
    <w:rsid w:val="000A1EF2"/>
    <w:rsid w:val="000C2710"/>
    <w:rsid w:val="00100115"/>
    <w:rsid w:val="00121CE6"/>
    <w:rsid w:val="00125D70"/>
    <w:rsid w:val="00132640"/>
    <w:rsid w:val="00133C1A"/>
    <w:rsid w:val="00141F66"/>
    <w:rsid w:val="00156E4E"/>
    <w:rsid w:val="00161E41"/>
    <w:rsid w:val="00167C81"/>
    <w:rsid w:val="00195D8B"/>
    <w:rsid w:val="0019644D"/>
    <w:rsid w:val="001A2A33"/>
    <w:rsid w:val="001A3777"/>
    <w:rsid w:val="001A7751"/>
    <w:rsid w:val="001D6D38"/>
    <w:rsid w:val="001E0C40"/>
    <w:rsid w:val="001E3523"/>
    <w:rsid w:val="001E4464"/>
    <w:rsid w:val="001F3FCB"/>
    <w:rsid w:val="001F5A5C"/>
    <w:rsid w:val="00221720"/>
    <w:rsid w:val="00221CF0"/>
    <w:rsid w:val="00246B0A"/>
    <w:rsid w:val="002530B7"/>
    <w:rsid w:val="002625BE"/>
    <w:rsid w:val="002B2147"/>
    <w:rsid w:val="002C03B3"/>
    <w:rsid w:val="002E51AC"/>
    <w:rsid w:val="002F4E60"/>
    <w:rsid w:val="002F744D"/>
    <w:rsid w:val="00302463"/>
    <w:rsid w:val="0032067C"/>
    <w:rsid w:val="0032478C"/>
    <w:rsid w:val="003444E4"/>
    <w:rsid w:val="003539FE"/>
    <w:rsid w:val="00361611"/>
    <w:rsid w:val="00374471"/>
    <w:rsid w:val="00375D12"/>
    <w:rsid w:val="00386C27"/>
    <w:rsid w:val="00390E6E"/>
    <w:rsid w:val="0039246B"/>
    <w:rsid w:val="00397629"/>
    <w:rsid w:val="003A1A60"/>
    <w:rsid w:val="003C23D1"/>
    <w:rsid w:val="003D2DF8"/>
    <w:rsid w:val="003E3998"/>
    <w:rsid w:val="00406140"/>
    <w:rsid w:val="004254C4"/>
    <w:rsid w:val="00445E65"/>
    <w:rsid w:val="00446A9F"/>
    <w:rsid w:val="00455042"/>
    <w:rsid w:val="0045648B"/>
    <w:rsid w:val="00457302"/>
    <w:rsid w:val="004646FC"/>
    <w:rsid w:val="004676F6"/>
    <w:rsid w:val="00471D66"/>
    <w:rsid w:val="004726BF"/>
    <w:rsid w:val="004820C7"/>
    <w:rsid w:val="00491A0C"/>
    <w:rsid w:val="004B325C"/>
    <w:rsid w:val="004B7FCF"/>
    <w:rsid w:val="004C2C36"/>
    <w:rsid w:val="004E34DB"/>
    <w:rsid w:val="00502634"/>
    <w:rsid w:val="0050632E"/>
    <w:rsid w:val="00512D05"/>
    <w:rsid w:val="0055201A"/>
    <w:rsid w:val="00554642"/>
    <w:rsid w:val="005867BE"/>
    <w:rsid w:val="00592716"/>
    <w:rsid w:val="00592E46"/>
    <w:rsid w:val="005A6AEF"/>
    <w:rsid w:val="005B1C19"/>
    <w:rsid w:val="005B2795"/>
    <w:rsid w:val="005C17B5"/>
    <w:rsid w:val="005D7609"/>
    <w:rsid w:val="005E256A"/>
    <w:rsid w:val="005E4638"/>
    <w:rsid w:val="005E7A9A"/>
    <w:rsid w:val="006132A2"/>
    <w:rsid w:val="0061671E"/>
    <w:rsid w:val="006351B7"/>
    <w:rsid w:val="006468CD"/>
    <w:rsid w:val="00654341"/>
    <w:rsid w:val="006548F9"/>
    <w:rsid w:val="0067606E"/>
    <w:rsid w:val="006975A1"/>
    <w:rsid w:val="006E1DD6"/>
    <w:rsid w:val="006E62B4"/>
    <w:rsid w:val="00711299"/>
    <w:rsid w:val="00714438"/>
    <w:rsid w:val="007201AF"/>
    <w:rsid w:val="00743E15"/>
    <w:rsid w:val="00761DE3"/>
    <w:rsid w:val="00782A34"/>
    <w:rsid w:val="007912EA"/>
    <w:rsid w:val="007A2541"/>
    <w:rsid w:val="007B0403"/>
    <w:rsid w:val="007B293D"/>
    <w:rsid w:val="007C0A0A"/>
    <w:rsid w:val="007D67B4"/>
    <w:rsid w:val="007F2714"/>
    <w:rsid w:val="008037B6"/>
    <w:rsid w:val="00810765"/>
    <w:rsid w:val="00820B0A"/>
    <w:rsid w:val="008224A8"/>
    <w:rsid w:val="00832085"/>
    <w:rsid w:val="0084245C"/>
    <w:rsid w:val="00844233"/>
    <w:rsid w:val="00854CF8"/>
    <w:rsid w:val="00857732"/>
    <w:rsid w:val="008648B9"/>
    <w:rsid w:val="008657A0"/>
    <w:rsid w:val="00866A4E"/>
    <w:rsid w:val="00866F18"/>
    <w:rsid w:val="0087356E"/>
    <w:rsid w:val="00875D0F"/>
    <w:rsid w:val="00884DAB"/>
    <w:rsid w:val="008858C1"/>
    <w:rsid w:val="00885C71"/>
    <w:rsid w:val="008934C9"/>
    <w:rsid w:val="008B79A0"/>
    <w:rsid w:val="008E05D5"/>
    <w:rsid w:val="008E4A0D"/>
    <w:rsid w:val="008F6268"/>
    <w:rsid w:val="009370AC"/>
    <w:rsid w:val="00941669"/>
    <w:rsid w:val="00941E56"/>
    <w:rsid w:val="00942B96"/>
    <w:rsid w:val="00945C80"/>
    <w:rsid w:val="0095009F"/>
    <w:rsid w:val="00965695"/>
    <w:rsid w:val="009672D3"/>
    <w:rsid w:val="00971642"/>
    <w:rsid w:val="009802E2"/>
    <w:rsid w:val="00984003"/>
    <w:rsid w:val="009A6CA9"/>
    <w:rsid w:val="009C1F44"/>
    <w:rsid w:val="009D6935"/>
    <w:rsid w:val="009F0227"/>
    <w:rsid w:val="00A042CD"/>
    <w:rsid w:val="00A1129E"/>
    <w:rsid w:val="00A12CB4"/>
    <w:rsid w:val="00A27AC6"/>
    <w:rsid w:val="00A40865"/>
    <w:rsid w:val="00A41680"/>
    <w:rsid w:val="00A42893"/>
    <w:rsid w:val="00A44188"/>
    <w:rsid w:val="00AB026A"/>
    <w:rsid w:val="00AD0777"/>
    <w:rsid w:val="00B016F8"/>
    <w:rsid w:val="00B04FE7"/>
    <w:rsid w:val="00B1359F"/>
    <w:rsid w:val="00B23CE0"/>
    <w:rsid w:val="00B250BF"/>
    <w:rsid w:val="00B44456"/>
    <w:rsid w:val="00B572E7"/>
    <w:rsid w:val="00B60FE7"/>
    <w:rsid w:val="00B613B3"/>
    <w:rsid w:val="00B657BE"/>
    <w:rsid w:val="00B715B5"/>
    <w:rsid w:val="00B71AEF"/>
    <w:rsid w:val="00B820A0"/>
    <w:rsid w:val="00B829BE"/>
    <w:rsid w:val="00B82A07"/>
    <w:rsid w:val="00B851CB"/>
    <w:rsid w:val="00BB0A34"/>
    <w:rsid w:val="00BC012E"/>
    <w:rsid w:val="00BC07F9"/>
    <w:rsid w:val="00BC5601"/>
    <w:rsid w:val="00BC5A3D"/>
    <w:rsid w:val="00BD15DE"/>
    <w:rsid w:val="00BF448C"/>
    <w:rsid w:val="00C0649D"/>
    <w:rsid w:val="00C260A8"/>
    <w:rsid w:val="00C4197D"/>
    <w:rsid w:val="00C44F81"/>
    <w:rsid w:val="00C6090C"/>
    <w:rsid w:val="00C614F7"/>
    <w:rsid w:val="00C61BDB"/>
    <w:rsid w:val="00CA02B1"/>
    <w:rsid w:val="00CA18CD"/>
    <w:rsid w:val="00CA409E"/>
    <w:rsid w:val="00CB7F28"/>
    <w:rsid w:val="00CC5333"/>
    <w:rsid w:val="00CE0F08"/>
    <w:rsid w:val="00CF3496"/>
    <w:rsid w:val="00D00722"/>
    <w:rsid w:val="00D0103E"/>
    <w:rsid w:val="00D3105B"/>
    <w:rsid w:val="00D36EFC"/>
    <w:rsid w:val="00D407D5"/>
    <w:rsid w:val="00D422E4"/>
    <w:rsid w:val="00D42DA9"/>
    <w:rsid w:val="00D5047F"/>
    <w:rsid w:val="00D53330"/>
    <w:rsid w:val="00D761B1"/>
    <w:rsid w:val="00D7648B"/>
    <w:rsid w:val="00D8557C"/>
    <w:rsid w:val="00D96E98"/>
    <w:rsid w:val="00DA0680"/>
    <w:rsid w:val="00DB1455"/>
    <w:rsid w:val="00DB64CC"/>
    <w:rsid w:val="00DC290E"/>
    <w:rsid w:val="00DC63E9"/>
    <w:rsid w:val="00DD3819"/>
    <w:rsid w:val="00DF1D1C"/>
    <w:rsid w:val="00E014A1"/>
    <w:rsid w:val="00E042E7"/>
    <w:rsid w:val="00E1256F"/>
    <w:rsid w:val="00E31FB2"/>
    <w:rsid w:val="00E40A67"/>
    <w:rsid w:val="00E42412"/>
    <w:rsid w:val="00E42542"/>
    <w:rsid w:val="00E436DD"/>
    <w:rsid w:val="00E437A3"/>
    <w:rsid w:val="00E44626"/>
    <w:rsid w:val="00E4617B"/>
    <w:rsid w:val="00E52BDF"/>
    <w:rsid w:val="00E6091D"/>
    <w:rsid w:val="00E62ECF"/>
    <w:rsid w:val="00E62F46"/>
    <w:rsid w:val="00E65BBD"/>
    <w:rsid w:val="00E73E73"/>
    <w:rsid w:val="00E82CE6"/>
    <w:rsid w:val="00EA0F59"/>
    <w:rsid w:val="00EA41E6"/>
    <w:rsid w:val="00EB374F"/>
    <w:rsid w:val="00EB5590"/>
    <w:rsid w:val="00ED6938"/>
    <w:rsid w:val="00EE6E18"/>
    <w:rsid w:val="00F0115E"/>
    <w:rsid w:val="00F13978"/>
    <w:rsid w:val="00F2517A"/>
    <w:rsid w:val="00F4076B"/>
    <w:rsid w:val="00F41584"/>
    <w:rsid w:val="00F51702"/>
    <w:rsid w:val="00F524E4"/>
    <w:rsid w:val="00F81049"/>
    <w:rsid w:val="00F90E37"/>
    <w:rsid w:val="00F94D1F"/>
    <w:rsid w:val="00FA1BA6"/>
    <w:rsid w:val="00FB5199"/>
    <w:rsid w:val="00FB5A62"/>
    <w:rsid w:val="00FD40F8"/>
    <w:rsid w:val="00FE6976"/>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2107139"/>
  <w15:chartTrackingRefBased/>
  <w15:docId w15:val="{66CEC6A1-EC52-4F55-AD45-E462B10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302"/>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051DDA"/>
  </w:style>
  <w:style w:type="character" w:customStyle="1" w:styleId="aa">
    <w:name w:val="日付 (文字)"/>
    <w:link w:val="a9"/>
    <w:rsid w:val="00051DD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エナラプリルマレイン酸塩錠5mg「日新」製品別比較表2304(案)</vt:lpstr>
      <vt:lpstr>後　　発　　品</vt:lpstr>
    </vt:vector>
  </TitlesOfParts>
  <Company>大原薬品工業株式会社</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エナラプリルマレイン酸塩錠5mg「日新」製品別比較表2304(案)</dc:title>
  <dc:subject/>
  <dc:creator>SUZUKI YUMINA / 鈴木 由実奈</dc:creator>
  <cp:keywords/>
  <cp:lastModifiedBy>SUZUKI YUMINA / 鈴木 由実奈</cp:lastModifiedBy>
  <cp:revision>2</cp:revision>
  <cp:lastPrinted>2010-07-02T08:14:00Z</cp:lastPrinted>
  <dcterms:created xsi:type="dcterms:W3CDTF">2024-03-18T05:40:00Z</dcterms:created>
  <dcterms:modified xsi:type="dcterms:W3CDTF">2024-03-18T05:40:00Z</dcterms:modified>
</cp:coreProperties>
</file>