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5479" w14:textId="77777777" w:rsidR="003D0ACA" w:rsidRPr="00075F31" w:rsidRDefault="003D0ACA" w:rsidP="003D0ACA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4251"/>
        <w:gridCol w:w="4253"/>
      </w:tblGrid>
      <w:tr w:rsidR="00EF7EE6" w14:paraId="148D9DCB" w14:textId="77777777" w:rsidTr="00EF7EE6">
        <w:trPr>
          <w:trHeight w:hRule="exact" w:val="312"/>
        </w:trPr>
        <w:tc>
          <w:tcPr>
            <w:tcW w:w="809" w:type="pct"/>
          </w:tcPr>
          <w:p w14:paraId="238B7529" w14:textId="77777777" w:rsidR="003D0ACA" w:rsidRPr="00674536" w:rsidRDefault="003D0ACA" w:rsidP="003B24B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095" w:type="pct"/>
            <w:vAlign w:val="center"/>
          </w:tcPr>
          <w:p w14:paraId="381A5925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096" w:type="pct"/>
            <w:vAlign w:val="center"/>
          </w:tcPr>
          <w:p w14:paraId="65DAC392" w14:textId="77777777" w:rsidR="003D0ACA" w:rsidRPr="00674536" w:rsidRDefault="003D0ACA" w:rsidP="003B24B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401FB20F" w14:textId="77777777" w:rsidTr="00EF7EE6">
        <w:trPr>
          <w:trHeight w:hRule="exact" w:val="340"/>
        </w:trPr>
        <w:tc>
          <w:tcPr>
            <w:tcW w:w="809" w:type="pct"/>
            <w:vAlign w:val="center"/>
          </w:tcPr>
          <w:p w14:paraId="17EB41DA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095" w:type="pct"/>
            <w:vAlign w:val="center"/>
          </w:tcPr>
          <w:p w14:paraId="3749F826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096" w:type="pct"/>
            <w:vAlign w:val="center"/>
          </w:tcPr>
          <w:p w14:paraId="2BC1AD3C" w14:textId="77777777" w:rsidR="003D0ACA" w:rsidRPr="00B30F5B" w:rsidRDefault="003D0ACA" w:rsidP="003B24B7">
            <w:pPr>
              <w:jc w:val="center"/>
              <w:rPr>
                <w:szCs w:val="20"/>
              </w:rPr>
            </w:pPr>
          </w:p>
        </w:tc>
      </w:tr>
      <w:tr w:rsidR="00EF7EE6" w14:paraId="661514C8" w14:textId="77777777" w:rsidTr="00EF7EE6">
        <w:trPr>
          <w:trHeight w:hRule="exact" w:val="510"/>
        </w:trPr>
        <w:tc>
          <w:tcPr>
            <w:tcW w:w="809" w:type="pct"/>
            <w:vAlign w:val="center"/>
          </w:tcPr>
          <w:p w14:paraId="1AFECC6F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095" w:type="pct"/>
            <w:vAlign w:val="center"/>
          </w:tcPr>
          <w:p w14:paraId="3BF56FC7" w14:textId="77777777" w:rsidR="003D0ACA" w:rsidRPr="0009019C" w:rsidRDefault="00037F72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37F72">
              <w:rPr>
                <w:rFonts w:ascii="Arial" w:eastAsia="ＭＳ ゴシック" w:hAnsi="Arial" w:hint="eastAsia"/>
              </w:rPr>
              <w:t>レボフロキサシン細粒</w:t>
            </w:r>
            <w:r w:rsidRPr="00037F72">
              <w:rPr>
                <w:rFonts w:ascii="Arial" w:eastAsia="ＭＳ ゴシック" w:hAnsi="Arial" w:hint="eastAsia"/>
              </w:rPr>
              <w:t>10%</w:t>
            </w:r>
            <w:r w:rsidRPr="00037F72">
              <w:rPr>
                <w:rFonts w:ascii="Arial" w:eastAsia="ＭＳ ゴシック" w:hAnsi="Arial" w:hint="eastAsia"/>
              </w:rPr>
              <w:t>「</w:t>
            </w:r>
            <w:r w:rsidRPr="00037F72">
              <w:rPr>
                <w:rFonts w:ascii="Arial" w:eastAsia="ＭＳ ゴシック" w:hAnsi="Arial" w:hint="eastAsia"/>
              </w:rPr>
              <w:t>DSEP</w:t>
            </w:r>
            <w:r w:rsidRPr="00037F72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2096" w:type="pct"/>
            <w:vAlign w:val="center"/>
          </w:tcPr>
          <w:p w14:paraId="51CDFAA3" w14:textId="77777777" w:rsidR="003D0ACA" w:rsidRPr="00802350" w:rsidRDefault="00037F72" w:rsidP="003B24B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37F72">
              <w:rPr>
                <w:rFonts w:ascii="Arial" w:eastAsia="ＭＳ ゴシック" w:hAnsi="Arial" w:cs="Arial" w:hint="eastAsia"/>
                <w:szCs w:val="20"/>
              </w:rPr>
              <w:t>クラビット細粒</w:t>
            </w:r>
            <w:r w:rsidRPr="00037F72">
              <w:rPr>
                <w:rFonts w:ascii="Arial" w:eastAsia="ＭＳ ゴシック" w:hAnsi="Arial" w:cs="Arial" w:hint="eastAsia"/>
                <w:szCs w:val="20"/>
              </w:rPr>
              <w:t>10%</w:t>
            </w:r>
          </w:p>
        </w:tc>
      </w:tr>
      <w:tr w:rsidR="00EF7EE6" w14:paraId="540C692B" w14:textId="77777777" w:rsidTr="00EF7EE6">
        <w:trPr>
          <w:trHeight w:val="454"/>
        </w:trPr>
        <w:tc>
          <w:tcPr>
            <w:tcW w:w="809" w:type="pct"/>
            <w:vAlign w:val="center"/>
          </w:tcPr>
          <w:p w14:paraId="51CB2721" w14:textId="77777777" w:rsidR="00210B33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9A8FB18" w14:textId="77777777" w:rsidR="00210B33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095" w:type="pct"/>
            <w:vAlign w:val="center"/>
          </w:tcPr>
          <w:p w14:paraId="62B5CD50" w14:textId="77777777" w:rsidR="00210B33" w:rsidRDefault="00000000">
            <w:pPr>
              <w:jc w:val="center"/>
            </w:pPr>
            <w:r>
              <w:t>27.70</w:t>
            </w:r>
            <w:r>
              <w:t>円</w:t>
            </w:r>
          </w:p>
        </w:tc>
        <w:tc>
          <w:tcPr>
            <w:tcW w:w="2096" w:type="pct"/>
            <w:vAlign w:val="center"/>
          </w:tcPr>
          <w:p w14:paraId="7392712B" w14:textId="77777777" w:rsidR="00210B33" w:rsidRDefault="00000000">
            <w:pPr>
              <w:jc w:val="center"/>
            </w:pPr>
            <w:r>
              <w:t>43.80</w:t>
            </w:r>
            <w:r>
              <w:t>円</w:t>
            </w:r>
          </w:p>
        </w:tc>
      </w:tr>
      <w:tr w:rsidR="00EF7EE6" w14:paraId="5C79FC77" w14:textId="77777777" w:rsidTr="0009019C">
        <w:trPr>
          <w:trHeight w:val="340"/>
        </w:trPr>
        <w:tc>
          <w:tcPr>
            <w:tcW w:w="809" w:type="pct"/>
            <w:vAlign w:val="center"/>
          </w:tcPr>
          <w:p w14:paraId="7B2B7BD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191" w:type="pct"/>
            <w:gridSpan w:val="2"/>
            <w:vAlign w:val="center"/>
          </w:tcPr>
          <w:p w14:paraId="4E3B1CE2" w14:textId="77777777" w:rsidR="006115C4" w:rsidRPr="006115C4" w:rsidRDefault="006115C4" w:rsidP="006115C4">
            <w:pPr>
              <w:jc w:val="center"/>
              <w:rPr>
                <w:szCs w:val="20"/>
              </w:rPr>
            </w:pPr>
            <w:r w:rsidRPr="006115C4">
              <w:rPr>
                <w:rFonts w:hint="eastAsia"/>
                <w:szCs w:val="20"/>
              </w:rPr>
              <w:t>細粒</w:t>
            </w:r>
            <w:r w:rsidRPr="006115C4">
              <w:rPr>
                <w:szCs w:val="20"/>
              </w:rPr>
              <w:t>1g</w:t>
            </w:r>
            <w:r w:rsidRPr="006115C4">
              <w:rPr>
                <w:rFonts w:hint="eastAsia"/>
                <w:szCs w:val="20"/>
              </w:rPr>
              <w:t>中</w:t>
            </w:r>
            <w:r>
              <w:rPr>
                <w:rFonts w:hint="eastAsia"/>
                <w:szCs w:val="20"/>
              </w:rPr>
              <w:t>に</w:t>
            </w:r>
            <w:r w:rsidRPr="006115C4">
              <w:rPr>
                <w:rFonts w:hint="eastAsia"/>
                <w:szCs w:val="20"/>
              </w:rPr>
              <w:t>レボフロキサシン水和物（日局）</w:t>
            </w:r>
            <w:r w:rsidRPr="006115C4">
              <w:rPr>
                <w:szCs w:val="20"/>
              </w:rPr>
              <w:t>102.5mg</w:t>
            </w:r>
          </w:p>
          <w:p w14:paraId="4CCFD70D" w14:textId="77777777" w:rsidR="003D0ACA" w:rsidRPr="00802350" w:rsidRDefault="006115C4" w:rsidP="006115C4">
            <w:pPr>
              <w:jc w:val="center"/>
              <w:rPr>
                <w:szCs w:val="20"/>
              </w:rPr>
            </w:pPr>
            <w:r w:rsidRPr="006115C4">
              <w:rPr>
                <w:rFonts w:hint="eastAsia"/>
                <w:szCs w:val="20"/>
              </w:rPr>
              <w:t>（レボフロキサシンとして</w:t>
            </w:r>
            <w:r w:rsidRPr="006115C4">
              <w:rPr>
                <w:szCs w:val="20"/>
              </w:rPr>
              <w:t>100mg</w:t>
            </w:r>
            <w:r w:rsidRPr="006115C4">
              <w:rPr>
                <w:rFonts w:hint="eastAsia"/>
                <w:szCs w:val="20"/>
              </w:rPr>
              <w:t>）</w:t>
            </w:r>
          </w:p>
        </w:tc>
      </w:tr>
      <w:tr w:rsidR="00937233" w14:paraId="1552A9FD" w14:textId="77777777" w:rsidTr="00C03FE8">
        <w:trPr>
          <w:trHeight w:val="680"/>
        </w:trPr>
        <w:tc>
          <w:tcPr>
            <w:tcW w:w="809" w:type="pct"/>
            <w:vAlign w:val="center"/>
          </w:tcPr>
          <w:p w14:paraId="4ED74CE7" w14:textId="77777777" w:rsidR="00937233" w:rsidRPr="001C6C05" w:rsidRDefault="0093723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1" w:type="pct"/>
            <w:gridSpan w:val="2"/>
            <w:vAlign w:val="center"/>
          </w:tcPr>
          <w:p w14:paraId="34AE146F" w14:textId="77777777" w:rsidR="00937233" w:rsidRPr="00B30F5B" w:rsidRDefault="00FF76CE" w:rsidP="00C03FE8">
            <w:pPr>
              <w:ind w:rightChars="-37" w:right="-71"/>
              <w:jc w:val="both"/>
              <w:rPr>
                <w:szCs w:val="20"/>
              </w:rPr>
            </w:pPr>
            <w:r w:rsidRPr="00FF76CE">
              <w:rPr>
                <w:rFonts w:hint="eastAsia"/>
                <w:szCs w:val="20"/>
              </w:rPr>
              <w:t>乳糖水和物、タルク、トウモロコシデンプン、酸化チタン、軽質無水ケイ酸、ショ糖脂肪酸エステル、アスパルテーム（</w:t>
            </w:r>
            <w:r w:rsidRPr="00FF76CE">
              <w:rPr>
                <w:szCs w:val="20"/>
              </w:rPr>
              <w:t>L-</w:t>
            </w:r>
            <w:r w:rsidRPr="00FF76CE">
              <w:rPr>
                <w:rFonts w:hint="eastAsia"/>
                <w:szCs w:val="20"/>
              </w:rPr>
              <w:t>フェニルアラニン化合物）、香料、その他</w:t>
            </w:r>
            <w:r w:rsidRPr="00FF76CE">
              <w:rPr>
                <w:szCs w:val="20"/>
              </w:rPr>
              <w:t>2</w:t>
            </w:r>
            <w:r w:rsidRPr="00FF76CE">
              <w:rPr>
                <w:rFonts w:hint="eastAsia"/>
                <w:szCs w:val="20"/>
              </w:rPr>
              <w:t>成分</w:t>
            </w:r>
          </w:p>
        </w:tc>
      </w:tr>
      <w:tr w:rsidR="00F00853" w14:paraId="714D1066" w14:textId="77777777" w:rsidTr="00F00853">
        <w:trPr>
          <w:trHeight w:val="340"/>
        </w:trPr>
        <w:tc>
          <w:tcPr>
            <w:tcW w:w="809" w:type="pct"/>
            <w:vAlign w:val="center"/>
          </w:tcPr>
          <w:p w14:paraId="1F500336" w14:textId="77777777" w:rsidR="00F00853" w:rsidRPr="001C6C05" w:rsidRDefault="00F00853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191" w:type="pct"/>
            <w:gridSpan w:val="2"/>
            <w:vAlign w:val="center"/>
          </w:tcPr>
          <w:p w14:paraId="5B980036" w14:textId="77777777" w:rsidR="00F00853" w:rsidRPr="00B30F5B" w:rsidRDefault="00F00853" w:rsidP="003B24B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広範囲経口抗菌製剤</w:t>
            </w:r>
          </w:p>
        </w:tc>
      </w:tr>
      <w:tr w:rsidR="00096629" w14:paraId="61F9377B" w14:textId="77777777" w:rsidTr="00096629">
        <w:trPr>
          <w:trHeight w:val="340"/>
        </w:trPr>
        <w:tc>
          <w:tcPr>
            <w:tcW w:w="809" w:type="pct"/>
            <w:vAlign w:val="center"/>
          </w:tcPr>
          <w:p w14:paraId="347B11C4" w14:textId="77777777" w:rsidR="00096629" w:rsidRPr="001C6C05" w:rsidRDefault="00096629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706557A7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〈適応菌種〉</w:t>
            </w:r>
          </w:p>
          <w:p w14:paraId="7AE09E7F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本剤に感性のブドウ球菌属、レンサ球菌属、肺炎球菌、腸球菌属、淋菌、モラクセラ（ブランハメラ）・カタラーリス、炭疽菌、結核菌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</w:t>
            </w:r>
            <w:r w:rsidRPr="00096629">
              <w:rPr>
                <w:rFonts w:cs="RyuminPro-Regular-90pv-RKSJ-H-I"/>
                <w:szCs w:val="20"/>
              </w:rPr>
              <w:t>Q</w:t>
            </w:r>
            <w:r w:rsidRPr="00096629">
              <w:rPr>
                <w:rFonts w:cs="RyuminPro-Regular-90pv-RKSJ-H-I" w:hint="eastAsia"/>
                <w:szCs w:val="20"/>
              </w:rPr>
              <w:t>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162D5FA8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〈適応症〉</w:t>
            </w:r>
          </w:p>
          <w:p w14:paraId="65BB6AB3" w14:textId="77777777" w:rsidR="00096629" w:rsidRPr="0009019C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、肺結核及びその他の結核症、</w:t>
            </w:r>
            <w:r w:rsidRPr="00096629">
              <w:rPr>
                <w:rFonts w:cs="RyuminPro-Regular-90pv-RKSJ-H-I"/>
                <w:szCs w:val="20"/>
              </w:rPr>
              <w:t>Q</w:t>
            </w:r>
            <w:r w:rsidRPr="00096629">
              <w:rPr>
                <w:rFonts w:cs="RyuminPro-Regular-90pv-RKSJ-H-I" w:hint="eastAsia"/>
                <w:szCs w:val="20"/>
              </w:rPr>
              <w:t>熱</w:t>
            </w:r>
          </w:p>
        </w:tc>
      </w:tr>
      <w:tr w:rsidR="00096629" w14:paraId="4E4B6EEB" w14:textId="77777777" w:rsidTr="00096629">
        <w:trPr>
          <w:trHeight w:val="680"/>
        </w:trPr>
        <w:tc>
          <w:tcPr>
            <w:tcW w:w="809" w:type="pct"/>
            <w:vAlign w:val="center"/>
          </w:tcPr>
          <w:p w14:paraId="30D25D73" w14:textId="77777777" w:rsidR="00096629" w:rsidRPr="001C6C05" w:rsidRDefault="00096629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191" w:type="pct"/>
            <w:gridSpan w:val="2"/>
            <w:tcMar>
              <w:top w:w="28" w:type="dxa"/>
              <w:bottom w:w="28" w:type="dxa"/>
            </w:tcMar>
            <w:vAlign w:val="center"/>
          </w:tcPr>
          <w:p w14:paraId="1157D09C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通常、成人にはレボフロキサシンとして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500mg</w:t>
            </w:r>
            <w:r w:rsidRPr="00096629">
              <w:rPr>
                <w:rFonts w:cs="RyuminPro-Regular-90pv-RKSJ-H-I" w:hint="eastAsia"/>
                <w:szCs w:val="20"/>
              </w:rPr>
              <w:t>を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日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回経口投与する。なお、疾患・症状に応じて適宜減量する。</w:t>
            </w:r>
          </w:p>
          <w:p w14:paraId="70EA9D40" w14:textId="77777777" w:rsidR="00096629" w:rsidRPr="00096629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肺結核及びその他の結核症については、原則として他の抗結核薬と併用すること。</w:t>
            </w:r>
          </w:p>
          <w:p w14:paraId="739FA35F" w14:textId="77777777" w:rsidR="00096629" w:rsidRPr="0009019C" w:rsidRDefault="00096629" w:rsidP="00C03FE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96629">
              <w:rPr>
                <w:rFonts w:cs="RyuminPro-Regular-90pv-RKSJ-H-I" w:hint="eastAsia"/>
                <w:szCs w:val="20"/>
              </w:rPr>
              <w:t>腸チフス、パラチフスについては、レボフロキサシンとして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500mg</w:t>
            </w:r>
            <w:r w:rsidRPr="00096629">
              <w:rPr>
                <w:rFonts w:cs="RyuminPro-Regular-90pv-RKSJ-H-I" w:hint="eastAsia"/>
                <w:szCs w:val="20"/>
              </w:rPr>
              <w:t>を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日</w:t>
            </w:r>
            <w:r w:rsidRPr="00096629">
              <w:rPr>
                <w:rFonts w:cs="RyuminPro-Regular-90pv-RKSJ-H-I"/>
                <w:szCs w:val="20"/>
              </w:rPr>
              <w:t>1</w:t>
            </w:r>
            <w:r w:rsidRPr="00096629">
              <w:rPr>
                <w:rFonts w:cs="RyuminPro-Regular-90pv-RKSJ-H-I" w:hint="eastAsia"/>
                <w:szCs w:val="20"/>
              </w:rPr>
              <w:t>回</w:t>
            </w:r>
            <w:r w:rsidRPr="00096629">
              <w:rPr>
                <w:rFonts w:cs="RyuminPro-Regular-90pv-RKSJ-H-I"/>
                <w:szCs w:val="20"/>
              </w:rPr>
              <w:t>14</w:t>
            </w:r>
            <w:r w:rsidRPr="00096629">
              <w:rPr>
                <w:rFonts w:cs="RyuminPro-Regular-90pv-RKSJ-H-I" w:hint="eastAsia"/>
                <w:szCs w:val="20"/>
              </w:rPr>
              <w:t>日間経口投与する。</w:t>
            </w:r>
          </w:p>
        </w:tc>
      </w:tr>
      <w:tr w:rsidR="00EF7EE6" w14:paraId="3CF2E0B0" w14:textId="77777777" w:rsidTr="00274B01">
        <w:trPr>
          <w:trHeight w:hRule="exact" w:val="690"/>
        </w:trPr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3EEB0D81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095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5A71E96D" w14:textId="77777777" w:rsidR="003D0ACA" w:rsidRPr="00802350" w:rsidRDefault="00364D56" w:rsidP="00274B01">
            <w:pPr>
              <w:ind w:rightChars="-59" w:right="-113"/>
              <w:jc w:val="both"/>
              <w:rPr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淡黄白色～黄白色のコーティング細粒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tcMar>
              <w:top w:w="28" w:type="dxa"/>
            </w:tcMar>
            <w:vAlign w:val="center"/>
          </w:tcPr>
          <w:p w14:paraId="5F14D316" w14:textId="77777777" w:rsidR="003D0ACA" w:rsidRPr="00364D56" w:rsidRDefault="00364D56" w:rsidP="00274B01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淡黄白色～黄白色のコーティング細粒</w:t>
            </w:r>
          </w:p>
        </w:tc>
      </w:tr>
      <w:tr w:rsidR="00EF7EE6" w14:paraId="6C962C60" w14:textId="77777777" w:rsidTr="00EF7EE6">
        <w:trPr>
          <w:trHeight w:hRule="exact" w:val="1020"/>
        </w:trPr>
        <w:tc>
          <w:tcPr>
            <w:tcW w:w="809" w:type="pct"/>
            <w:vAlign w:val="center"/>
          </w:tcPr>
          <w:p w14:paraId="4CA296C7" w14:textId="77777777" w:rsidR="00E5010C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147F3E24" w14:textId="77777777" w:rsidR="00E5010C" w:rsidRPr="00674536" w:rsidRDefault="00E5010C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1" w:type="pct"/>
            <w:gridSpan w:val="2"/>
            <w:tcBorders>
              <w:bottom w:val="single" w:sz="4" w:space="0" w:color="auto"/>
            </w:tcBorders>
            <w:vAlign w:val="center"/>
          </w:tcPr>
          <w:p w14:paraId="707FA97E" w14:textId="5AFCCFED" w:rsidR="00E5010C" w:rsidRPr="00B30F5B" w:rsidRDefault="00E5010C" w:rsidP="003B24B7">
            <w:pPr>
              <w:ind w:rightChars="-15" w:right="-29"/>
              <w:rPr>
                <w:szCs w:val="20"/>
              </w:rPr>
            </w:pPr>
            <w:r w:rsidRPr="00B30F5B">
              <w:rPr>
                <w:rFonts w:hAnsi="ＭＳ 明朝" w:hint="eastAsia"/>
                <w:szCs w:val="20"/>
              </w:rPr>
              <w:t>本剤は、</w:t>
            </w:r>
            <w:r w:rsidR="00364D56">
              <w:rPr>
                <w:rFonts w:hAnsi="ＭＳ 明朝" w:hint="eastAsia"/>
                <w:szCs w:val="20"/>
              </w:rPr>
              <w:t>クラビット</w:t>
            </w:r>
            <w:r w:rsidRPr="00B30F5B">
              <w:rPr>
                <w:szCs w:val="20"/>
                <w:vertAlign w:val="superscript"/>
              </w:rPr>
              <w:t>®</w:t>
            </w:r>
            <w:r w:rsidR="00364D56">
              <w:rPr>
                <w:rFonts w:hAnsi="ＭＳ 明朝" w:hint="eastAsia"/>
                <w:szCs w:val="20"/>
              </w:rPr>
              <w:t>細粒</w:t>
            </w:r>
            <w:r w:rsidR="00364D56">
              <w:rPr>
                <w:rFonts w:hAnsi="ＭＳ 明朝" w:hint="eastAsia"/>
                <w:szCs w:val="20"/>
              </w:rPr>
              <w:t>10</w:t>
            </w:r>
            <w:r w:rsidR="00364D56">
              <w:rPr>
                <w:rFonts w:hAnsi="ＭＳ 明朝"/>
                <w:szCs w:val="20"/>
              </w:rPr>
              <w:t>%</w:t>
            </w:r>
            <w:r w:rsidRPr="00B30F5B">
              <w:rPr>
                <w:rFonts w:hAnsi="ＭＳ 明朝" w:hint="eastAsia"/>
                <w:szCs w:val="20"/>
              </w:rPr>
              <w:t>のオーソライズド・ジェネリック（</w:t>
            </w:r>
            <w:r w:rsidRPr="00B30F5B">
              <w:rPr>
                <w:rFonts w:hAnsi="ＭＳ 明朝"/>
                <w:szCs w:val="20"/>
              </w:rPr>
              <w:t>AG</w:t>
            </w:r>
            <w:r w:rsidRPr="00B30F5B">
              <w:rPr>
                <w:rFonts w:hAnsi="ＭＳ 明朝" w:hint="eastAsia"/>
                <w:szCs w:val="20"/>
              </w:rPr>
              <w:t>）品であり、</w:t>
            </w:r>
            <w:r w:rsidR="00DC2630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01CD9660" w14:textId="77777777" w:rsidTr="00EF7EE6">
        <w:trPr>
          <w:trHeight w:val="454"/>
        </w:trPr>
        <w:tc>
          <w:tcPr>
            <w:tcW w:w="809" w:type="pct"/>
            <w:tcBorders>
              <w:bottom w:val="single" w:sz="4" w:space="0" w:color="auto"/>
            </w:tcBorders>
            <w:vAlign w:val="center"/>
          </w:tcPr>
          <w:p w14:paraId="58314467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191" w:type="pct"/>
            <w:gridSpan w:val="2"/>
            <w:tcBorders>
              <w:bottom w:val="single" w:sz="4" w:space="0" w:color="auto"/>
            </w:tcBorders>
            <w:vAlign w:val="center"/>
          </w:tcPr>
          <w:p w14:paraId="751A020D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  <w:tr w:rsidR="00EF7EE6" w14:paraId="2D7461FB" w14:textId="77777777" w:rsidTr="00EF7EE6">
        <w:trPr>
          <w:trHeight w:val="454"/>
        </w:trPr>
        <w:tc>
          <w:tcPr>
            <w:tcW w:w="809" w:type="pct"/>
            <w:vAlign w:val="center"/>
          </w:tcPr>
          <w:p w14:paraId="470E98D9" w14:textId="77777777" w:rsidR="003D0ACA" w:rsidRPr="001C6C05" w:rsidRDefault="003D0ACA" w:rsidP="003B24B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191" w:type="pct"/>
            <w:gridSpan w:val="2"/>
            <w:vAlign w:val="center"/>
          </w:tcPr>
          <w:p w14:paraId="160A8A9D" w14:textId="77777777" w:rsidR="003D0ACA" w:rsidRPr="00B30F5B" w:rsidRDefault="003D0ACA" w:rsidP="003B24B7">
            <w:pPr>
              <w:rPr>
                <w:szCs w:val="20"/>
              </w:rPr>
            </w:pPr>
          </w:p>
        </w:tc>
      </w:tr>
    </w:tbl>
    <w:p w14:paraId="64DFB5D2" w14:textId="77777777" w:rsidR="0090123D" w:rsidRPr="00862C0E" w:rsidRDefault="003D0ACA" w:rsidP="005E3261">
      <w:pPr>
        <w:tabs>
          <w:tab w:val="right" w:pos="10149"/>
        </w:tabs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t>2025</w:t>
      </w:r>
      <w:r>
        <w:t>年</w:t>
      </w:r>
      <w:r>
        <w:t>4</w:t>
      </w:r>
      <w:r>
        <w:t>月</w:t>
      </w:r>
    </w:p>
    <w:sectPr w:rsidR="0090123D" w:rsidRPr="00862C0E" w:rsidSect="003840A1">
      <w:headerReference w:type="default" r:id="rId8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34A5" w14:textId="77777777" w:rsidR="00BE61D5" w:rsidRDefault="00BE61D5">
      <w:r>
        <w:separator/>
      </w:r>
    </w:p>
  </w:endnote>
  <w:endnote w:type="continuationSeparator" w:id="0">
    <w:p w14:paraId="09C5A609" w14:textId="77777777" w:rsidR="00BE61D5" w:rsidRDefault="00B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7601" w14:textId="77777777" w:rsidR="00BE61D5" w:rsidRDefault="00BE61D5">
      <w:r>
        <w:separator/>
      </w:r>
    </w:p>
  </w:footnote>
  <w:footnote w:type="continuationSeparator" w:id="0">
    <w:p w14:paraId="04CABB03" w14:textId="77777777" w:rsidR="00BE61D5" w:rsidRDefault="00BE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FA13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0C00"/>
    <w:rsid w:val="0001435D"/>
    <w:rsid w:val="00016D81"/>
    <w:rsid w:val="00020621"/>
    <w:rsid w:val="00020846"/>
    <w:rsid w:val="00021947"/>
    <w:rsid w:val="000232C4"/>
    <w:rsid w:val="00024CFC"/>
    <w:rsid w:val="00026ADE"/>
    <w:rsid w:val="000335F9"/>
    <w:rsid w:val="00033DA0"/>
    <w:rsid w:val="00037F72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629"/>
    <w:rsid w:val="00096B42"/>
    <w:rsid w:val="000A5A9B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6B0"/>
    <w:rsid w:val="001E7B74"/>
    <w:rsid w:val="001F66BB"/>
    <w:rsid w:val="002007CB"/>
    <w:rsid w:val="00203F4B"/>
    <w:rsid w:val="00206424"/>
    <w:rsid w:val="00210B33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74B01"/>
    <w:rsid w:val="0028647E"/>
    <w:rsid w:val="00286BAE"/>
    <w:rsid w:val="00287B92"/>
    <w:rsid w:val="002922A2"/>
    <w:rsid w:val="002A6254"/>
    <w:rsid w:val="002B4503"/>
    <w:rsid w:val="002C0CDC"/>
    <w:rsid w:val="002C0CDD"/>
    <w:rsid w:val="002E654D"/>
    <w:rsid w:val="002E7345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6327"/>
    <w:rsid w:val="00357CFD"/>
    <w:rsid w:val="00361611"/>
    <w:rsid w:val="00362ADE"/>
    <w:rsid w:val="00364D56"/>
    <w:rsid w:val="00365F9C"/>
    <w:rsid w:val="00366582"/>
    <w:rsid w:val="00373D52"/>
    <w:rsid w:val="00374471"/>
    <w:rsid w:val="003840A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27B2A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2D9C"/>
    <w:rsid w:val="004E34D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27BD8"/>
    <w:rsid w:val="00532337"/>
    <w:rsid w:val="00544B21"/>
    <w:rsid w:val="00545111"/>
    <w:rsid w:val="00545504"/>
    <w:rsid w:val="005503B6"/>
    <w:rsid w:val="00550AF7"/>
    <w:rsid w:val="00564D2C"/>
    <w:rsid w:val="005730BF"/>
    <w:rsid w:val="00573280"/>
    <w:rsid w:val="005920EB"/>
    <w:rsid w:val="00592218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729B"/>
    <w:rsid w:val="005C0BB1"/>
    <w:rsid w:val="005D23C9"/>
    <w:rsid w:val="005D7609"/>
    <w:rsid w:val="005E1A4A"/>
    <w:rsid w:val="005E3261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5C4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E25F8"/>
    <w:rsid w:val="007F0A4D"/>
    <w:rsid w:val="007F1FD9"/>
    <w:rsid w:val="007F42F6"/>
    <w:rsid w:val="007F472F"/>
    <w:rsid w:val="008021BC"/>
    <w:rsid w:val="00802350"/>
    <w:rsid w:val="008037B6"/>
    <w:rsid w:val="00806F13"/>
    <w:rsid w:val="00807DB4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C0E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C7EA4"/>
    <w:rsid w:val="008E05D5"/>
    <w:rsid w:val="008E2BB2"/>
    <w:rsid w:val="008E4A0D"/>
    <w:rsid w:val="008E61F2"/>
    <w:rsid w:val="008E7840"/>
    <w:rsid w:val="008F1B92"/>
    <w:rsid w:val="008F50EC"/>
    <w:rsid w:val="00900AEE"/>
    <w:rsid w:val="0090123D"/>
    <w:rsid w:val="00901D7D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7809"/>
    <w:rsid w:val="009D5F3A"/>
    <w:rsid w:val="009D6935"/>
    <w:rsid w:val="009E68A1"/>
    <w:rsid w:val="009F0FC5"/>
    <w:rsid w:val="009F517E"/>
    <w:rsid w:val="00A000A8"/>
    <w:rsid w:val="00A000B7"/>
    <w:rsid w:val="00A042CD"/>
    <w:rsid w:val="00A05726"/>
    <w:rsid w:val="00A1051F"/>
    <w:rsid w:val="00A16B91"/>
    <w:rsid w:val="00A21642"/>
    <w:rsid w:val="00A23339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C3937"/>
    <w:rsid w:val="00AD0777"/>
    <w:rsid w:val="00AD0F90"/>
    <w:rsid w:val="00AD1A74"/>
    <w:rsid w:val="00AD1DC9"/>
    <w:rsid w:val="00B016F8"/>
    <w:rsid w:val="00B1332A"/>
    <w:rsid w:val="00B1359F"/>
    <w:rsid w:val="00B13EA1"/>
    <w:rsid w:val="00B15E86"/>
    <w:rsid w:val="00B212BA"/>
    <w:rsid w:val="00B249D8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61D5"/>
    <w:rsid w:val="00BF13F1"/>
    <w:rsid w:val="00BF2412"/>
    <w:rsid w:val="00BF2D1F"/>
    <w:rsid w:val="00BF6CDD"/>
    <w:rsid w:val="00C03B48"/>
    <w:rsid w:val="00C03FE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58E3"/>
    <w:rsid w:val="00D03104"/>
    <w:rsid w:val="00D0343D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3E4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1F9"/>
    <w:rsid w:val="00DA77A5"/>
    <w:rsid w:val="00DB3A51"/>
    <w:rsid w:val="00DB3ABE"/>
    <w:rsid w:val="00DB3C19"/>
    <w:rsid w:val="00DB4BF2"/>
    <w:rsid w:val="00DB4D59"/>
    <w:rsid w:val="00DB7E3F"/>
    <w:rsid w:val="00DC2630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1BC6"/>
    <w:rsid w:val="00ED27CA"/>
    <w:rsid w:val="00ED3F81"/>
    <w:rsid w:val="00ED58E2"/>
    <w:rsid w:val="00ED67F7"/>
    <w:rsid w:val="00ED6938"/>
    <w:rsid w:val="00ED711C"/>
    <w:rsid w:val="00ED7F43"/>
    <w:rsid w:val="00EF7EE6"/>
    <w:rsid w:val="00F00853"/>
    <w:rsid w:val="00F037E3"/>
    <w:rsid w:val="00F24E72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744F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0F67"/>
    <w:rsid w:val="00FC4B52"/>
    <w:rsid w:val="00FC70C2"/>
    <w:rsid w:val="00FD2FCD"/>
    <w:rsid w:val="00FE2317"/>
    <w:rsid w:val="00FE3EAA"/>
    <w:rsid w:val="00FE4940"/>
    <w:rsid w:val="00FE6976"/>
    <w:rsid w:val="00FF63A6"/>
    <w:rsid w:val="00FF6C11"/>
    <w:rsid w:val="00FF76CE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3B6962BC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1225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2017-08-31T06:07:00Z</cp:lastPrinted>
  <dcterms:created xsi:type="dcterms:W3CDTF">2024-05-14T02:40:00Z</dcterms:created>
  <dcterms:modified xsi:type="dcterms:W3CDTF">2025-03-10T05:52:00Z</dcterms:modified>
</cp:coreProperties>
</file>