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3E49D" w14:textId="77777777" w:rsidR="008E4A0D" w:rsidRPr="00075F31" w:rsidRDefault="008E4A0D" w:rsidP="00EB5590">
      <w:pPr>
        <w:spacing w:line="280" w:lineRule="exact"/>
        <w:jc w:val="center"/>
        <w:rPr>
          <w:rFonts w:ascii="Arial" w:eastAsia="ＭＳ ゴシック" w:hAnsi="Arial"/>
          <w:sz w:val="24"/>
        </w:rPr>
      </w:pPr>
      <w:r w:rsidRPr="00075F31">
        <w:rPr>
          <w:rFonts w:ascii="Arial" w:eastAsia="ＭＳ ゴシック" w:hAnsi="ＭＳ ゴシック" w:hint="eastAsia"/>
          <w:sz w:val="24"/>
        </w:rPr>
        <w:t>製品別比較表（標準製剤との比較）</w:t>
      </w:r>
      <w:r w:rsidR="006548F9">
        <w:rPr>
          <w:rFonts w:ascii="Arial" w:eastAsia="ＭＳ ゴシック" w:hAnsi="Arial" w:hint="eastAsia"/>
          <w:sz w:val="24"/>
        </w:rPr>
        <w:t>（</w:t>
      </w:r>
      <w:r w:rsidRPr="00075F31">
        <w:rPr>
          <w:rFonts w:ascii="Arial" w:eastAsia="ＭＳ ゴシック" w:hAnsi="ＭＳ ゴシック" w:hint="eastAsia"/>
          <w:sz w:val="24"/>
        </w:rPr>
        <w:t>案</w:t>
      </w:r>
      <w:r w:rsidR="006548F9">
        <w:rPr>
          <w:rFonts w:ascii="Arial" w:eastAsia="ＭＳ ゴシック" w:hAnsi="Arial" w:hint="eastAsia"/>
          <w:sz w:val="24"/>
        </w:rPr>
        <w:t>）</w:t>
      </w:r>
    </w:p>
    <w:tbl>
      <w:tblPr>
        <w:tblW w:w="101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9"/>
        <w:gridCol w:w="4192"/>
        <w:gridCol w:w="4193"/>
      </w:tblGrid>
      <w:tr w:rsidR="008E4A0D" w14:paraId="2F04E9D9" w14:textId="77777777" w:rsidTr="00DF0E62">
        <w:trPr>
          <w:trHeight w:hRule="exact" w:val="340"/>
        </w:trPr>
        <w:tc>
          <w:tcPr>
            <w:tcW w:w="1749" w:type="dxa"/>
          </w:tcPr>
          <w:p w14:paraId="3DE63F37" w14:textId="77777777" w:rsidR="008E4A0D" w:rsidRDefault="008E4A0D" w:rsidP="00457302">
            <w:pPr>
              <w:rPr>
                <w:rFonts w:ascii="ＭＳ ゴシック" w:eastAsia="ＭＳ ゴシック" w:hAnsi="ＭＳ ゴシック"/>
              </w:rPr>
            </w:pPr>
          </w:p>
        </w:tc>
        <w:tc>
          <w:tcPr>
            <w:tcW w:w="4192" w:type="dxa"/>
            <w:vAlign w:val="center"/>
          </w:tcPr>
          <w:p w14:paraId="4513F546" w14:textId="77777777" w:rsidR="008E4A0D" w:rsidRPr="00075F31" w:rsidRDefault="008E4A0D" w:rsidP="00DA0680">
            <w:pPr>
              <w:jc w:val="center"/>
              <w:rPr>
                <w:rFonts w:ascii="Arial" w:eastAsia="ＭＳ ゴシック" w:hAnsi="Arial"/>
              </w:rPr>
            </w:pPr>
            <w:r w:rsidRPr="00075F31">
              <w:rPr>
                <w:rFonts w:ascii="Arial" w:eastAsia="ＭＳ ゴシック" w:hAnsi="ＭＳ ゴシック" w:hint="eastAsia"/>
              </w:rPr>
              <w:t>後　　発　　品</w:t>
            </w:r>
          </w:p>
        </w:tc>
        <w:tc>
          <w:tcPr>
            <w:tcW w:w="4193" w:type="dxa"/>
            <w:vAlign w:val="center"/>
          </w:tcPr>
          <w:p w14:paraId="29B56588" w14:textId="77777777" w:rsidR="008E4A0D" w:rsidRPr="00075F31" w:rsidRDefault="008E4A0D" w:rsidP="00DA0680">
            <w:pPr>
              <w:jc w:val="center"/>
              <w:rPr>
                <w:rFonts w:ascii="Arial" w:eastAsia="ＭＳ ゴシック" w:hAnsi="Arial"/>
              </w:rPr>
            </w:pPr>
            <w:r w:rsidRPr="00075F31">
              <w:rPr>
                <w:rFonts w:ascii="Arial" w:eastAsia="ＭＳ ゴシック" w:hAnsi="ＭＳ ゴシック" w:hint="eastAsia"/>
              </w:rPr>
              <w:t>先　　発　　品</w:t>
            </w:r>
          </w:p>
        </w:tc>
      </w:tr>
      <w:tr w:rsidR="00B016F8" w14:paraId="39AB9B53" w14:textId="77777777" w:rsidTr="00DF0E62">
        <w:trPr>
          <w:trHeight w:hRule="exact" w:val="340"/>
        </w:trPr>
        <w:tc>
          <w:tcPr>
            <w:tcW w:w="1749" w:type="dxa"/>
            <w:vAlign w:val="center"/>
          </w:tcPr>
          <w:p w14:paraId="6A8C02B2" w14:textId="77777777" w:rsidR="00B016F8" w:rsidRPr="00075F31" w:rsidRDefault="00B016F8" w:rsidP="00457302">
            <w:pPr>
              <w:jc w:val="distribute"/>
              <w:rPr>
                <w:rFonts w:ascii="Arial" w:eastAsia="ＭＳ ゴシック" w:hAnsi="Arial"/>
              </w:rPr>
            </w:pPr>
            <w:r w:rsidRPr="00075F31">
              <w:rPr>
                <w:rFonts w:ascii="Arial" w:eastAsia="ＭＳ ゴシック" w:hAnsi="ＭＳ ゴシック" w:hint="eastAsia"/>
              </w:rPr>
              <w:t>会　　社　　名</w:t>
            </w:r>
          </w:p>
        </w:tc>
        <w:tc>
          <w:tcPr>
            <w:tcW w:w="4192" w:type="dxa"/>
            <w:vAlign w:val="center"/>
          </w:tcPr>
          <w:p w14:paraId="185050D7" w14:textId="77777777" w:rsidR="00B016F8" w:rsidRPr="00457302" w:rsidRDefault="00B016F8">
            <w:pPr>
              <w:jc w:val="center"/>
              <w:rPr>
                <w:szCs w:val="20"/>
              </w:rPr>
            </w:pPr>
            <w:r w:rsidRPr="00457302">
              <w:rPr>
                <w:rFonts w:hint="eastAsia"/>
                <w:szCs w:val="20"/>
              </w:rPr>
              <w:t>第一三共エスファ株式会社</w:t>
            </w:r>
          </w:p>
        </w:tc>
        <w:tc>
          <w:tcPr>
            <w:tcW w:w="4193" w:type="dxa"/>
            <w:vAlign w:val="center"/>
          </w:tcPr>
          <w:p w14:paraId="5C3A0A57" w14:textId="77777777" w:rsidR="00B016F8" w:rsidRPr="00B016F8" w:rsidRDefault="00B016F8" w:rsidP="00E65BBD">
            <w:pPr>
              <w:jc w:val="center"/>
              <w:rPr>
                <w:szCs w:val="20"/>
              </w:rPr>
            </w:pPr>
          </w:p>
        </w:tc>
      </w:tr>
      <w:tr w:rsidR="00B016F8" w14:paraId="5EC2C683" w14:textId="77777777" w:rsidTr="00DF0E62">
        <w:trPr>
          <w:trHeight w:hRule="exact" w:val="340"/>
        </w:trPr>
        <w:tc>
          <w:tcPr>
            <w:tcW w:w="1749" w:type="dxa"/>
            <w:vAlign w:val="center"/>
          </w:tcPr>
          <w:p w14:paraId="07729254" w14:textId="77777777" w:rsidR="00B016F8" w:rsidRPr="00075F31" w:rsidRDefault="00AA5BAC" w:rsidP="00457302">
            <w:pPr>
              <w:jc w:val="distribute"/>
              <w:rPr>
                <w:rFonts w:ascii="Arial" w:eastAsia="ＭＳ ゴシック" w:hAnsi="Arial"/>
              </w:rPr>
            </w:pPr>
            <w:r>
              <w:rPr>
                <w:rFonts w:ascii="Arial" w:eastAsia="ＭＳ ゴシック" w:hAnsi="ＭＳ ゴシック" w:hint="eastAsia"/>
              </w:rPr>
              <w:t>製</w:t>
            </w:r>
            <w:r w:rsidR="00B016F8" w:rsidRPr="00075F31">
              <w:rPr>
                <w:rFonts w:ascii="Arial" w:eastAsia="ＭＳ ゴシック" w:hAnsi="ＭＳ ゴシック" w:hint="eastAsia"/>
              </w:rPr>
              <w:t xml:space="preserve">　　品　　名</w:t>
            </w:r>
          </w:p>
        </w:tc>
        <w:tc>
          <w:tcPr>
            <w:tcW w:w="4192" w:type="dxa"/>
            <w:vAlign w:val="center"/>
          </w:tcPr>
          <w:p w14:paraId="51644574" w14:textId="77777777" w:rsidR="00B016F8" w:rsidRPr="004E34DB" w:rsidRDefault="006866B3" w:rsidP="00393396">
            <w:pPr>
              <w:jc w:val="center"/>
              <w:rPr>
                <w:rFonts w:ascii="Arial" w:eastAsia="ＭＳ ゴシック" w:hAnsi="Arial"/>
                <w:vertAlign w:val="subscript"/>
              </w:rPr>
            </w:pPr>
            <w:r>
              <w:rPr>
                <w:rFonts w:ascii="Arial" w:eastAsia="ＭＳ ゴシック" w:hAnsi="Arial" w:hint="eastAsia"/>
              </w:rPr>
              <w:t>ドネペジル塩酸塩</w:t>
            </w:r>
            <w:r w:rsidR="00A40865" w:rsidRPr="004E34DB">
              <w:rPr>
                <w:rFonts w:ascii="Arial" w:eastAsia="ＭＳ ゴシック" w:hAnsi="Arial" w:hint="eastAsia"/>
              </w:rPr>
              <w:t>錠</w:t>
            </w:r>
            <w:r w:rsidR="00393396">
              <w:rPr>
                <w:rFonts w:ascii="Arial" w:eastAsia="ＭＳ ゴシック" w:hAnsi="Arial" w:hint="eastAsia"/>
              </w:rPr>
              <w:t>10</w:t>
            </w:r>
            <w:r w:rsidR="00A565FC">
              <w:rPr>
                <w:rFonts w:ascii="Arial" w:eastAsia="ＭＳ ゴシック" w:hAnsi="Arial" w:hint="eastAsia"/>
              </w:rPr>
              <w:t>mg</w:t>
            </w:r>
            <w:r>
              <w:rPr>
                <w:rFonts w:ascii="Arial" w:eastAsia="ＭＳ ゴシック" w:hAnsi="Arial" w:hint="eastAsia"/>
              </w:rPr>
              <w:t>「</w:t>
            </w:r>
            <w:r>
              <w:rPr>
                <w:rFonts w:ascii="Arial" w:eastAsia="ＭＳ ゴシック" w:hAnsi="Arial" w:hint="eastAsia"/>
              </w:rPr>
              <w:t>DSEP</w:t>
            </w:r>
            <w:r>
              <w:rPr>
                <w:rFonts w:ascii="Arial" w:eastAsia="ＭＳ ゴシック" w:hAnsi="Arial" w:hint="eastAsia"/>
              </w:rPr>
              <w:t>」</w:t>
            </w:r>
          </w:p>
        </w:tc>
        <w:tc>
          <w:tcPr>
            <w:tcW w:w="4193" w:type="dxa"/>
            <w:vAlign w:val="center"/>
          </w:tcPr>
          <w:p w14:paraId="0EC9620A" w14:textId="77777777" w:rsidR="00B016F8" w:rsidRPr="00E73DA6" w:rsidRDefault="00E73DA6" w:rsidP="00CC5333">
            <w:pPr>
              <w:jc w:val="center"/>
              <w:rPr>
                <w:rFonts w:ascii="Arial" w:eastAsia="ＭＳ ゴシック" w:hAnsi="Arial" w:cs="Arial"/>
              </w:rPr>
            </w:pPr>
            <w:r w:rsidRPr="00E73DA6">
              <w:rPr>
                <w:rFonts w:ascii="Arial" w:eastAsia="ＭＳ ゴシック" w:hAnsi="Arial" w:cs="Arial" w:hint="eastAsia"/>
              </w:rPr>
              <w:t>アリセプト錠</w:t>
            </w:r>
            <w:r w:rsidRPr="00E73DA6">
              <w:rPr>
                <w:rFonts w:ascii="Arial" w:eastAsia="ＭＳ ゴシック" w:hAnsi="Arial" w:cs="Arial" w:hint="eastAsia"/>
              </w:rPr>
              <w:t>10mg</w:t>
            </w:r>
          </w:p>
        </w:tc>
      </w:tr>
      <w:tr w:rsidR="00A00770" w14:paraId="367BD20D" w14:textId="77777777" w:rsidTr="00DF0E62">
        <w:trPr>
          <w:trHeight w:hRule="exact" w:val="454"/>
        </w:trPr>
        <w:tc>
          <w:tcPr>
            <w:tcW w:w="1749" w:type="dxa"/>
            <w:vAlign w:val="center"/>
          </w:tcPr>
          <w:p w14:paraId="71468839" w14:textId="77777777" w:rsidR="0050017E" w:rsidRDefault="00000000">
            <w:pPr>
              <w:jc w:val="distribute"/>
            </w:pPr>
            <w:r>
              <w:rPr>
                <w:rFonts w:ascii="ＭＳ ゴシック" w:eastAsia="ＭＳ ゴシック" w:hAnsi="ＭＳ ゴシック"/>
              </w:rPr>
              <w:t>薬価</w:t>
            </w:r>
          </w:p>
          <w:p w14:paraId="39E4DD7B" w14:textId="77777777" w:rsidR="0050017E" w:rsidRDefault="00000000">
            <w:pPr>
              <w:jc w:val="distribute"/>
            </w:pPr>
            <w:r>
              <w:rPr>
                <w:rFonts w:ascii="Arial" w:eastAsia="ＭＳ ゴシック" w:hAnsi="Arial"/>
                <w:sz w:val="12"/>
              </w:rPr>
              <w:t>（</w:t>
            </w:r>
            <w:r>
              <w:rPr>
                <w:rFonts w:ascii="Arial" w:eastAsia="ＭＳ ゴシック" w:hAnsi="Arial"/>
                <w:sz w:val="12"/>
              </w:rPr>
              <w:t>2026</w:t>
            </w:r>
            <w:r>
              <w:rPr>
                <w:rFonts w:ascii="Arial" w:eastAsia="ＭＳ ゴシック" w:hAnsi="Arial"/>
                <w:sz w:val="12"/>
              </w:rPr>
              <w:t>年</w:t>
            </w:r>
            <w:r>
              <w:rPr>
                <w:rFonts w:ascii="Arial" w:eastAsia="ＭＳ ゴシック" w:hAnsi="Arial"/>
                <w:sz w:val="12"/>
              </w:rPr>
              <w:t>4</w:t>
            </w:r>
            <w:r>
              <w:rPr>
                <w:rFonts w:ascii="Arial" w:eastAsia="ＭＳ ゴシック" w:hAnsi="Arial"/>
                <w:sz w:val="12"/>
              </w:rPr>
              <w:t>月</w:t>
            </w:r>
            <w:r>
              <w:rPr>
                <w:rFonts w:ascii="Arial" w:eastAsia="ＭＳ ゴシック" w:hAnsi="Arial"/>
                <w:sz w:val="12"/>
              </w:rPr>
              <w:t>1</w:t>
            </w:r>
            <w:r>
              <w:rPr>
                <w:rFonts w:ascii="Arial" w:eastAsia="ＭＳ ゴシック" w:hAnsi="Arial"/>
                <w:sz w:val="12"/>
              </w:rPr>
              <w:t>日時点）</w:t>
            </w:r>
          </w:p>
        </w:tc>
        <w:tc>
          <w:tcPr>
            <w:tcW w:w="4192" w:type="dxa"/>
            <w:vAlign w:val="center"/>
          </w:tcPr>
          <w:p w14:paraId="1C118B62" w14:textId="77777777" w:rsidR="0050017E" w:rsidRDefault="00000000">
            <w:pPr>
              <w:jc w:val="center"/>
            </w:pPr>
            <w:r>
              <w:t>63.00</w:t>
            </w:r>
            <w:r>
              <w:t>円</w:t>
            </w:r>
          </w:p>
        </w:tc>
        <w:tc>
          <w:tcPr>
            <w:tcW w:w="4193" w:type="dxa"/>
            <w:vAlign w:val="center"/>
          </w:tcPr>
          <w:p w14:paraId="681CDDF4" w14:textId="77777777" w:rsidR="0050017E" w:rsidRDefault="00000000">
            <w:pPr>
              <w:jc w:val="center"/>
            </w:pPr>
            <w:r>
              <w:t>89.10</w:t>
            </w:r>
            <w:r>
              <w:t>円</w:t>
            </w:r>
          </w:p>
        </w:tc>
      </w:tr>
      <w:tr w:rsidR="00A00770" w14:paraId="7ED0A7BA" w14:textId="77777777" w:rsidTr="00DF0E62">
        <w:trPr>
          <w:trHeight w:hRule="exact" w:val="340"/>
        </w:trPr>
        <w:tc>
          <w:tcPr>
            <w:tcW w:w="1749" w:type="dxa"/>
            <w:vAlign w:val="center"/>
          </w:tcPr>
          <w:p w14:paraId="47361297" w14:textId="77777777" w:rsidR="00A00770" w:rsidRPr="00075F31" w:rsidRDefault="00A00770" w:rsidP="00A00770">
            <w:pPr>
              <w:jc w:val="distribute"/>
              <w:rPr>
                <w:rFonts w:ascii="Arial" w:eastAsia="ＭＳ ゴシック" w:hAnsi="Arial"/>
              </w:rPr>
            </w:pPr>
            <w:r w:rsidRPr="00075F31">
              <w:rPr>
                <w:rFonts w:ascii="Arial" w:eastAsia="ＭＳ ゴシック" w:hAnsi="ＭＳ ゴシック" w:hint="eastAsia"/>
              </w:rPr>
              <w:t>規　　　　　格</w:t>
            </w:r>
          </w:p>
        </w:tc>
        <w:tc>
          <w:tcPr>
            <w:tcW w:w="8385" w:type="dxa"/>
            <w:gridSpan w:val="2"/>
            <w:vAlign w:val="center"/>
          </w:tcPr>
          <w:p w14:paraId="00740AD8" w14:textId="77777777" w:rsidR="00A00770" w:rsidRPr="00B016F8" w:rsidRDefault="00A00770" w:rsidP="00A00770">
            <w:pPr>
              <w:jc w:val="center"/>
            </w:pPr>
            <w:r>
              <w:t xml:space="preserve">1 </w:t>
            </w:r>
            <w:r>
              <w:rPr>
                <w:rFonts w:hint="eastAsia"/>
              </w:rPr>
              <w:t>錠中に</w:t>
            </w:r>
            <w:r>
              <w:rPr>
                <w:rFonts w:ascii="Arial" w:eastAsia="ＭＳ ゴシック" w:hint="eastAsia"/>
              </w:rPr>
              <w:t>ドネペジル塩酸</w:t>
            </w:r>
            <w:r w:rsidRPr="004E34DB">
              <w:rPr>
                <w:rFonts w:ascii="Arial" w:eastAsia="ＭＳ ゴシック" w:hint="eastAsia"/>
              </w:rPr>
              <w:t>塩</w:t>
            </w:r>
            <w:r>
              <w:rPr>
                <w:rFonts w:ascii="Arial" w:eastAsia="ＭＳ ゴシック" w:hint="eastAsia"/>
              </w:rPr>
              <w:t>（日局）</w:t>
            </w:r>
            <w:r>
              <w:rPr>
                <w:rFonts w:hint="eastAsia"/>
              </w:rPr>
              <w:t>10</w:t>
            </w:r>
            <w:r>
              <w:t>mg</w:t>
            </w:r>
            <w:r>
              <w:rPr>
                <w:rFonts w:hint="eastAsia"/>
              </w:rPr>
              <w:t>を含有</w:t>
            </w:r>
          </w:p>
        </w:tc>
      </w:tr>
      <w:tr w:rsidR="00A00770" w14:paraId="5496912C" w14:textId="77777777" w:rsidTr="000F2862">
        <w:tc>
          <w:tcPr>
            <w:tcW w:w="1749" w:type="dxa"/>
            <w:vAlign w:val="center"/>
          </w:tcPr>
          <w:p w14:paraId="25BF91AB" w14:textId="77777777" w:rsidR="00A00770" w:rsidRPr="00075F31" w:rsidRDefault="00A00770" w:rsidP="00A00770">
            <w:pPr>
              <w:jc w:val="distribute"/>
              <w:rPr>
                <w:rFonts w:ascii="Arial" w:eastAsia="ＭＳ ゴシック" w:hAnsi="Arial"/>
              </w:rPr>
            </w:pPr>
            <w:r w:rsidRPr="00075F31">
              <w:rPr>
                <w:rFonts w:ascii="Arial" w:eastAsia="ＭＳ ゴシック" w:hAnsi="ＭＳ ゴシック" w:hint="eastAsia"/>
              </w:rPr>
              <w:t>添加物</w:t>
            </w:r>
          </w:p>
        </w:tc>
        <w:tc>
          <w:tcPr>
            <w:tcW w:w="4192" w:type="dxa"/>
            <w:tcBorders>
              <w:right w:val="single" w:sz="4" w:space="0" w:color="auto"/>
            </w:tcBorders>
          </w:tcPr>
          <w:p w14:paraId="41441F51" w14:textId="77777777" w:rsidR="00A00770" w:rsidRPr="00D407D5" w:rsidRDefault="00A00770" w:rsidP="00807F6B">
            <w:pPr>
              <w:spacing w:line="220" w:lineRule="exact"/>
              <w:rPr>
                <w:szCs w:val="20"/>
              </w:rPr>
            </w:pPr>
            <w:r>
              <w:rPr>
                <w:rFonts w:hint="eastAsia"/>
                <w:szCs w:val="20"/>
              </w:rPr>
              <w:t>乳糖水和物、トウモロコシデンプン、</w:t>
            </w:r>
            <w:r w:rsidRPr="00D407D5">
              <w:rPr>
                <w:rFonts w:hint="eastAsia"/>
                <w:szCs w:val="20"/>
              </w:rPr>
              <w:t>ヒドロキシプロピルセルロース、</w:t>
            </w:r>
            <w:r>
              <w:rPr>
                <w:rFonts w:hint="eastAsia"/>
                <w:szCs w:val="20"/>
              </w:rPr>
              <w:t>低置換度ヒドロキシプロピルセルロース、ステアリン酸マグネシウム、ヒプロメロース、タルク、酸化チタン、三二酸化鉄、カルナウバロウ</w:t>
            </w:r>
          </w:p>
        </w:tc>
        <w:tc>
          <w:tcPr>
            <w:tcW w:w="4193" w:type="dxa"/>
            <w:tcBorders>
              <w:left w:val="single" w:sz="4" w:space="0" w:color="auto"/>
            </w:tcBorders>
          </w:tcPr>
          <w:p w14:paraId="6D724A3A" w14:textId="77777777" w:rsidR="00A00770" w:rsidRPr="00D407D5" w:rsidRDefault="00A00770" w:rsidP="00807F6B">
            <w:pPr>
              <w:spacing w:line="220" w:lineRule="exact"/>
              <w:rPr>
                <w:szCs w:val="20"/>
              </w:rPr>
            </w:pPr>
            <w:r>
              <w:rPr>
                <w:rFonts w:hint="eastAsia"/>
                <w:szCs w:val="20"/>
              </w:rPr>
              <w:t>結晶セルロース、酸化チタン、三二酸化鉄、ステアリン酸マグネシウム、タルク、トウモロコシデンプン、</w:t>
            </w:r>
            <w:r w:rsidRPr="00D407D5">
              <w:rPr>
                <w:rFonts w:hint="eastAsia"/>
                <w:szCs w:val="20"/>
              </w:rPr>
              <w:t>乳糖水和物、</w:t>
            </w:r>
            <w:r>
              <w:rPr>
                <w:rFonts w:hint="eastAsia"/>
                <w:szCs w:val="20"/>
              </w:rPr>
              <w:t>ヒドロキシプロピルセルロース、ヒプロメロース、マクロゴール</w:t>
            </w:r>
            <w:r>
              <w:rPr>
                <w:rFonts w:hint="eastAsia"/>
                <w:szCs w:val="20"/>
              </w:rPr>
              <w:t>6000</w:t>
            </w:r>
          </w:p>
        </w:tc>
      </w:tr>
      <w:tr w:rsidR="00A00770" w14:paraId="5CCC702E" w14:textId="77777777" w:rsidTr="00DF0E62">
        <w:trPr>
          <w:trHeight w:val="340"/>
        </w:trPr>
        <w:tc>
          <w:tcPr>
            <w:tcW w:w="1749" w:type="dxa"/>
            <w:vAlign w:val="center"/>
          </w:tcPr>
          <w:p w14:paraId="2F4C39CD" w14:textId="77777777" w:rsidR="00A00770" w:rsidRPr="00075F31" w:rsidRDefault="00A00770" w:rsidP="00A00770">
            <w:pPr>
              <w:jc w:val="distribute"/>
              <w:rPr>
                <w:rFonts w:ascii="Arial" w:eastAsia="ＭＳ ゴシック" w:hAnsi="Arial"/>
              </w:rPr>
            </w:pPr>
            <w:r w:rsidRPr="00075F31">
              <w:rPr>
                <w:rFonts w:ascii="Arial" w:eastAsia="ＭＳ ゴシック" w:hAnsi="ＭＳ ゴシック" w:hint="eastAsia"/>
              </w:rPr>
              <w:t>薬効分類名</w:t>
            </w:r>
          </w:p>
        </w:tc>
        <w:tc>
          <w:tcPr>
            <w:tcW w:w="8385" w:type="dxa"/>
            <w:gridSpan w:val="2"/>
            <w:vAlign w:val="center"/>
          </w:tcPr>
          <w:p w14:paraId="1A5227C5" w14:textId="77777777" w:rsidR="00A00770" w:rsidRPr="00ED6938" w:rsidRDefault="00A00770" w:rsidP="00A00770">
            <w:pPr>
              <w:pStyle w:val="a3"/>
              <w:tabs>
                <w:tab w:val="clear" w:pos="4252"/>
                <w:tab w:val="clear" w:pos="8504"/>
              </w:tabs>
              <w:snapToGrid/>
              <w:ind w:leftChars="-48" w:rightChars="-45" w:right="-86" w:hangingChars="48" w:hanging="92"/>
              <w:jc w:val="center"/>
              <w:rPr>
                <w:rFonts w:ascii="ＭＳ 明朝" w:hAnsi="ＭＳ 明朝"/>
                <w:szCs w:val="20"/>
              </w:rPr>
            </w:pPr>
            <w:r w:rsidRPr="00EE2D81">
              <w:rPr>
                <w:rFonts w:hint="eastAsia"/>
                <w:szCs w:val="20"/>
              </w:rPr>
              <w:t>アルツハイマー型、レビー小体型認知症治療剤</w:t>
            </w:r>
          </w:p>
        </w:tc>
      </w:tr>
      <w:tr w:rsidR="00A00770" w14:paraId="63AF88A9" w14:textId="77777777" w:rsidTr="00DF0E62">
        <w:trPr>
          <w:trHeight w:val="340"/>
        </w:trPr>
        <w:tc>
          <w:tcPr>
            <w:tcW w:w="1749" w:type="dxa"/>
            <w:vAlign w:val="center"/>
          </w:tcPr>
          <w:p w14:paraId="29F876B8" w14:textId="77777777" w:rsidR="00A00770" w:rsidRPr="00075F31" w:rsidRDefault="00A00770" w:rsidP="00A00770">
            <w:pPr>
              <w:jc w:val="distribute"/>
              <w:rPr>
                <w:rFonts w:ascii="Arial" w:eastAsia="ＭＳ ゴシック" w:hAnsi="Arial"/>
              </w:rPr>
            </w:pPr>
            <w:r w:rsidRPr="00075F31">
              <w:rPr>
                <w:rFonts w:ascii="Arial" w:eastAsia="ＭＳ ゴシック" w:hAnsi="ＭＳ ゴシック" w:hint="eastAsia"/>
              </w:rPr>
              <w:t>効能・効果</w:t>
            </w:r>
          </w:p>
        </w:tc>
        <w:tc>
          <w:tcPr>
            <w:tcW w:w="8385" w:type="dxa"/>
            <w:gridSpan w:val="2"/>
            <w:vAlign w:val="center"/>
          </w:tcPr>
          <w:p w14:paraId="3BEF3ACC" w14:textId="77777777" w:rsidR="00A00770" w:rsidRPr="00D407D5" w:rsidRDefault="00A00770" w:rsidP="00A00770">
            <w:pPr>
              <w:jc w:val="center"/>
              <w:rPr>
                <w:szCs w:val="20"/>
              </w:rPr>
            </w:pPr>
            <w:r w:rsidRPr="00EE2D81">
              <w:rPr>
                <w:rFonts w:hint="eastAsia"/>
                <w:szCs w:val="20"/>
              </w:rPr>
              <w:t>アルツハイマー型認知症</w:t>
            </w:r>
            <w:r w:rsidRPr="00102454">
              <w:rPr>
                <w:rFonts w:hint="eastAsia"/>
                <w:szCs w:val="20"/>
              </w:rPr>
              <w:t>及びレビー小体型認知症</w:t>
            </w:r>
            <w:r w:rsidRPr="00EE2D81">
              <w:rPr>
                <w:rFonts w:hint="eastAsia"/>
                <w:szCs w:val="20"/>
              </w:rPr>
              <w:t>における認知症症状の進行抑制</w:t>
            </w:r>
          </w:p>
        </w:tc>
      </w:tr>
      <w:tr w:rsidR="00A00770" w14:paraId="7307D16F" w14:textId="77777777" w:rsidTr="006105B5">
        <w:trPr>
          <w:trHeight w:val="450"/>
        </w:trPr>
        <w:tc>
          <w:tcPr>
            <w:tcW w:w="1749" w:type="dxa"/>
            <w:vAlign w:val="center"/>
          </w:tcPr>
          <w:p w14:paraId="601AB274" w14:textId="77777777" w:rsidR="00A00770" w:rsidRPr="00075F31" w:rsidRDefault="00A00770" w:rsidP="00A00770">
            <w:pPr>
              <w:jc w:val="distribute"/>
              <w:rPr>
                <w:rFonts w:ascii="Arial" w:eastAsia="ＭＳ ゴシック" w:hAnsi="Arial"/>
              </w:rPr>
            </w:pPr>
            <w:r w:rsidRPr="00075F31">
              <w:rPr>
                <w:rFonts w:ascii="Arial" w:eastAsia="ＭＳ ゴシック" w:hAnsi="ＭＳ ゴシック" w:hint="eastAsia"/>
              </w:rPr>
              <w:t>用法・用量</w:t>
            </w:r>
          </w:p>
        </w:tc>
        <w:tc>
          <w:tcPr>
            <w:tcW w:w="8385" w:type="dxa"/>
            <w:gridSpan w:val="2"/>
            <w:tcMar>
              <w:top w:w="28" w:type="dxa"/>
              <w:bottom w:w="28" w:type="dxa"/>
            </w:tcMar>
            <w:vAlign w:val="center"/>
          </w:tcPr>
          <w:p w14:paraId="7B3CFE07" w14:textId="77777777" w:rsidR="00A00770" w:rsidRPr="00807F6B" w:rsidRDefault="00A00770" w:rsidP="00807F6B">
            <w:pPr>
              <w:autoSpaceDE w:val="0"/>
              <w:autoSpaceDN w:val="0"/>
              <w:spacing w:line="200" w:lineRule="exact"/>
              <w:rPr>
                <w:rFonts w:ascii="ＭＳ ゴシック" w:eastAsia="ＭＳ ゴシック" w:hAnsi="ＭＳ ゴシック" w:cs="GothicBBB-Medium-Identity-H"/>
                <w:sz w:val="18"/>
                <w:szCs w:val="18"/>
              </w:rPr>
            </w:pPr>
            <w:r w:rsidRPr="00807F6B">
              <w:rPr>
                <w:rFonts w:ascii="ＭＳ ゴシック" w:eastAsia="ＭＳ ゴシック" w:hAnsi="ＭＳ ゴシック" w:cs="GothicBBB-Medium-Identity-H" w:hint="eastAsia"/>
                <w:sz w:val="18"/>
                <w:szCs w:val="18"/>
              </w:rPr>
              <w:t>アルツハイマー型認知症における認知症症状の進行抑制：</w:t>
            </w:r>
          </w:p>
          <w:p w14:paraId="6DEA5657" w14:textId="77777777" w:rsidR="00A00770" w:rsidRPr="00807F6B" w:rsidRDefault="00A00770" w:rsidP="00807F6B">
            <w:pPr>
              <w:pStyle w:val="L2b"/>
              <w:spacing w:line="200" w:lineRule="exact"/>
              <w:ind w:left="0" w:right="-1"/>
              <w:jc w:val="left"/>
              <w:rPr>
                <w:sz w:val="18"/>
                <w:szCs w:val="18"/>
              </w:rPr>
            </w:pPr>
            <w:r w:rsidRPr="00807F6B">
              <w:rPr>
                <w:rFonts w:hint="eastAsia"/>
                <w:sz w:val="18"/>
                <w:szCs w:val="18"/>
              </w:rPr>
              <w:t>通常、成人にはドネペジル塩酸塩として</w:t>
            </w:r>
            <w:r w:rsidRPr="00807F6B">
              <w:rPr>
                <w:rFonts w:hint="eastAsia"/>
                <w:sz w:val="18"/>
                <w:szCs w:val="18"/>
              </w:rPr>
              <w:t>1</w:t>
            </w:r>
            <w:r w:rsidRPr="00807F6B">
              <w:rPr>
                <w:rFonts w:hint="eastAsia"/>
                <w:sz w:val="18"/>
                <w:szCs w:val="18"/>
              </w:rPr>
              <w:t>日</w:t>
            </w:r>
            <w:r w:rsidRPr="00807F6B">
              <w:rPr>
                <w:rFonts w:hint="eastAsia"/>
                <w:sz w:val="18"/>
                <w:szCs w:val="18"/>
              </w:rPr>
              <w:t>1</w:t>
            </w:r>
            <w:r w:rsidRPr="00807F6B">
              <w:rPr>
                <w:rFonts w:hint="eastAsia"/>
                <w:sz w:val="18"/>
                <w:szCs w:val="18"/>
              </w:rPr>
              <w:t>回</w:t>
            </w:r>
            <w:r w:rsidRPr="00807F6B">
              <w:rPr>
                <w:rFonts w:hint="eastAsia"/>
                <w:sz w:val="18"/>
                <w:szCs w:val="18"/>
              </w:rPr>
              <w:t>3</w:t>
            </w:r>
            <w:r w:rsidRPr="00807F6B">
              <w:rPr>
                <w:sz w:val="18"/>
                <w:szCs w:val="18"/>
              </w:rPr>
              <w:t>mg</w:t>
            </w:r>
            <w:r w:rsidRPr="00807F6B">
              <w:rPr>
                <w:rFonts w:hint="eastAsia"/>
                <w:sz w:val="18"/>
                <w:szCs w:val="18"/>
              </w:rPr>
              <w:t>から開始し、</w:t>
            </w:r>
            <w:r w:rsidRPr="00807F6B">
              <w:rPr>
                <w:sz w:val="18"/>
                <w:szCs w:val="18"/>
              </w:rPr>
              <w:t>1</w:t>
            </w:r>
            <w:r w:rsidRPr="00807F6B">
              <w:rPr>
                <w:rFonts w:hint="eastAsia"/>
                <w:sz w:val="18"/>
                <w:szCs w:val="18"/>
              </w:rPr>
              <w:t>～</w:t>
            </w:r>
            <w:r w:rsidRPr="00807F6B">
              <w:rPr>
                <w:rFonts w:hint="eastAsia"/>
                <w:sz w:val="18"/>
                <w:szCs w:val="18"/>
              </w:rPr>
              <w:t>2</w:t>
            </w:r>
            <w:r w:rsidRPr="00807F6B">
              <w:rPr>
                <w:rFonts w:hint="eastAsia"/>
                <w:sz w:val="18"/>
                <w:szCs w:val="18"/>
              </w:rPr>
              <w:t>週間後に</w:t>
            </w:r>
            <w:r w:rsidRPr="00807F6B">
              <w:rPr>
                <w:rFonts w:hint="eastAsia"/>
                <w:sz w:val="18"/>
                <w:szCs w:val="18"/>
              </w:rPr>
              <w:t>5mg</w:t>
            </w:r>
            <w:r w:rsidRPr="00807F6B">
              <w:rPr>
                <w:rFonts w:hint="eastAsia"/>
                <w:sz w:val="18"/>
                <w:szCs w:val="18"/>
              </w:rPr>
              <w:t>に増量し、経口投与する。高度のアルツハイマー型認知症患者には、</w:t>
            </w:r>
            <w:r w:rsidRPr="00807F6B">
              <w:rPr>
                <w:rFonts w:hint="eastAsia"/>
                <w:sz w:val="18"/>
                <w:szCs w:val="18"/>
              </w:rPr>
              <w:t>5mg</w:t>
            </w:r>
            <w:r w:rsidRPr="00807F6B">
              <w:rPr>
                <w:rFonts w:hint="eastAsia"/>
                <w:sz w:val="18"/>
                <w:szCs w:val="18"/>
              </w:rPr>
              <w:t>で</w:t>
            </w:r>
            <w:r w:rsidRPr="00807F6B">
              <w:rPr>
                <w:rFonts w:hint="eastAsia"/>
                <w:sz w:val="18"/>
                <w:szCs w:val="18"/>
              </w:rPr>
              <w:t>4</w:t>
            </w:r>
            <w:r w:rsidRPr="00807F6B">
              <w:rPr>
                <w:rFonts w:hint="eastAsia"/>
                <w:sz w:val="18"/>
                <w:szCs w:val="18"/>
              </w:rPr>
              <w:t>週間以上経過後、</w:t>
            </w:r>
            <w:r w:rsidRPr="00807F6B">
              <w:rPr>
                <w:rFonts w:hint="eastAsia"/>
                <w:sz w:val="18"/>
                <w:szCs w:val="18"/>
              </w:rPr>
              <w:t>10mg</w:t>
            </w:r>
            <w:r w:rsidRPr="00807F6B">
              <w:rPr>
                <w:rFonts w:hint="eastAsia"/>
                <w:sz w:val="18"/>
                <w:szCs w:val="18"/>
              </w:rPr>
              <w:t>に増量する。なお、症状により適宜減量する。</w:t>
            </w:r>
          </w:p>
          <w:p w14:paraId="51FF34ED" w14:textId="77777777" w:rsidR="00A00770" w:rsidRPr="00807F6B" w:rsidRDefault="00A00770" w:rsidP="00807F6B">
            <w:pPr>
              <w:autoSpaceDE w:val="0"/>
              <w:autoSpaceDN w:val="0"/>
              <w:spacing w:line="200" w:lineRule="exact"/>
              <w:rPr>
                <w:rFonts w:ascii="ＭＳ ゴシック" w:eastAsia="ＭＳ ゴシック" w:hAnsi="ＭＳ ゴシック" w:cs="GothicBBB-Medium-Identity-H"/>
                <w:sz w:val="18"/>
                <w:szCs w:val="18"/>
              </w:rPr>
            </w:pPr>
            <w:r w:rsidRPr="00807F6B">
              <w:rPr>
                <w:rFonts w:ascii="ＭＳ ゴシック" w:eastAsia="ＭＳ ゴシック" w:hAnsi="ＭＳ ゴシック" w:cs="GothicBBB-Medium-Identity-H" w:hint="eastAsia"/>
                <w:sz w:val="18"/>
                <w:szCs w:val="18"/>
              </w:rPr>
              <w:t>レビー小体型認知症における認知症症状の進行抑制：</w:t>
            </w:r>
          </w:p>
          <w:p w14:paraId="469E4289" w14:textId="77777777" w:rsidR="00A00770" w:rsidRPr="00807F6B" w:rsidRDefault="00A00770" w:rsidP="00807F6B">
            <w:pPr>
              <w:autoSpaceDE w:val="0"/>
              <w:autoSpaceDN w:val="0"/>
              <w:spacing w:line="200" w:lineRule="exact"/>
              <w:rPr>
                <w:rFonts w:cs="GothicBBB-Medium-Identity-H"/>
                <w:sz w:val="18"/>
                <w:szCs w:val="18"/>
              </w:rPr>
            </w:pPr>
            <w:r w:rsidRPr="00807F6B">
              <w:rPr>
                <w:rFonts w:cs="GothicBBB-Medium-Identity-H" w:hint="eastAsia"/>
                <w:sz w:val="18"/>
                <w:szCs w:val="18"/>
              </w:rPr>
              <w:t>通常、成人にはドネペジル塩酸塩として</w:t>
            </w:r>
            <w:r w:rsidRPr="00807F6B">
              <w:rPr>
                <w:rFonts w:cs="GothicBBB-Medium-Identity-H" w:hint="eastAsia"/>
                <w:sz w:val="18"/>
                <w:szCs w:val="18"/>
              </w:rPr>
              <w:t>1</w:t>
            </w:r>
            <w:r w:rsidRPr="00807F6B">
              <w:rPr>
                <w:rFonts w:cs="GothicBBB-Medium-Identity-H" w:hint="eastAsia"/>
                <w:sz w:val="18"/>
                <w:szCs w:val="18"/>
              </w:rPr>
              <w:t>日</w:t>
            </w:r>
            <w:r w:rsidRPr="00807F6B">
              <w:rPr>
                <w:rFonts w:cs="GothicBBB-Medium-Identity-H" w:hint="eastAsia"/>
                <w:sz w:val="18"/>
                <w:szCs w:val="18"/>
              </w:rPr>
              <w:t>1</w:t>
            </w:r>
            <w:r w:rsidRPr="00807F6B">
              <w:rPr>
                <w:rFonts w:cs="GothicBBB-Medium-Identity-H" w:hint="eastAsia"/>
                <w:sz w:val="18"/>
                <w:szCs w:val="18"/>
              </w:rPr>
              <w:t>回</w:t>
            </w:r>
            <w:r w:rsidRPr="00807F6B">
              <w:rPr>
                <w:rFonts w:cs="GothicBBB-Medium-Identity-H" w:hint="eastAsia"/>
                <w:sz w:val="18"/>
                <w:szCs w:val="18"/>
              </w:rPr>
              <w:t>3mg</w:t>
            </w:r>
            <w:r w:rsidRPr="00807F6B">
              <w:rPr>
                <w:rFonts w:cs="GothicBBB-Medium-Identity-H" w:hint="eastAsia"/>
                <w:sz w:val="18"/>
                <w:szCs w:val="18"/>
              </w:rPr>
              <w:t>から開始し、</w:t>
            </w:r>
            <w:r w:rsidRPr="00807F6B">
              <w:rPr>
                <w:rFonts w:cs="GothicBBB-Medium-Identity-H" w:hint="eastAsia"/>
                <w:sz w:val="18"/>
                <w:szCs w:val="18"/>
              </w:rPr>
              <w:t>1</w:t>
            </w:r>
            <w:r w:rsidRPr="00807F6B">
              <w:rPr>
                <w:rFonts w:cs="GothicBBB-Medium-Identity-H" w:hint="eastAsia"/>
                <w:sz w:val="18"/>
                <w:szCs w:val="18"/>
              </w:rPr>
              <w:t>～</w:t>
            </w:r>
            <w:r w:rsidRPr="00807F6B">
              <w:rPr>
                <w:rFonts w:cs="GothicBBB-Medium-Identity-H" w:hint="eastAsia"/>
                <w:sz w:val="18"/>
                <w:szCs w:val="18"/>
              </w:rPr>
              <w:t>2</w:t>
            </w:r>
            <w:r w:rsidRPr="00807F6B">
              <w:rPr>
                <w:rFonts w:cs="GothicBBB-Medium-Identity-H" w:hint="eastAsia"/>
                <w:sz w:val="18"/>
                <w:szCs w:val="18"/>
              </w:rPr>
              <w:t>週間後に</w:t>
            </w:r>
            <w:r w:rsidRPr="00807F6B">
              <w:rPr>
                <w:rFonts w:cs="GothicBBB-Medium-Identity-H" w:hint="eastAsia"/>
                <w:sz w:val="18"/>
                <w:szCs w:val="18"/>
              </w:rPr>
              <w:t>5mg</w:t>
            </w:r>
            <w:r w:rsidRPr="00807F6B">
              <w:rPr>
                <w:rFonts w:cs="GothicBBB-Medium-Identity-H" w:hint="eastAsia"/>
                <w:sz w:val="18"/>
                <w:szCs w:val="18"/>
              </w:rPr>
              <w:t>に増量し、経口投与する。</w:t>
            </w:r>
            <w:r w:rsidRPr="00807F6B">
              <w:rPr>
                <w:rFonts w:cs="GothicBBB-Medium-Identity-H" w:hint="eastAsia"/>
                <w:sz w:val="18"/>
                <w:szCs w:val="18"/>
              </w:rPr>
              <w:t>5mg</w:t>
            </w:r>
            <w:r w:rsidRPr="00807F6B">
              <w:rPr>
                <w:rFonts w:cs="GothicBBB-Medium-Identity-H" w:hint="eastAsia"/>
                <w:sz w:val="18"/>
                <w:szCs w:val="18"/>
              </w:rPr>
              <w:t>で</w:t>
            </w:r>
            <w:r w:rsidRPr="00807F6B">
              <w:rPr>
                <w:rFonts w:cs="GothicBBB-Medium-Identity-H" w:hint="eastAsia"/>
                <w:sz w:val="18"/>
                <w:szCs w:val="18"/>
              </w:rPr>
              <w:t>4</w:t>
            </w:r>
            <w:r w:rsidRPr="00807F6B">
              <w:rPr>
                <w:rFonts w:cs="GothicBBB-Medium-Identity-H" w:hint="eastAsia"/>
                <w:sz w:val="18"/>
                <w:szCs w:val="18"/>
              </w:rPr>
              <w:t>週間以上経過後、</w:t>
            </w:r>
            <w:r w:rsidRPr="00807F6B">
              <w:rPr>
                <w:rFonts w:cs="GothicBBB-Medium-Identity-H" w:hint="eastAsia"/>
                <w:sz w:val="18"/>
                <w:szCs w:val="18"/>
              </w:rPr>
              <w:t>10mg</w:t>
            </w:r>
            <w:r w:rsidRPr="00807F6B">
              <w:rPr>
                <w:rFonts w:cs="GothicBBB-Medium-Identity-H" w:hint="eastAsia"/>
                <w:sz w:val="18"/>
                <w:szCs w:val="18"/>
              </w:rPr>
              <w:t>に増量する。なお、症状により</w:t>
            </w:r>
            <w:r w:rsidRPr="00807F6B">
              <w:rPr>
                <w:rFonts w:cs="GothicBBB-Medium-Identity-H" w:hint="eastAsia"/>
                <w:sz w:val="18"/>
                <w:szCs w:val="18"/>
              </w:rPr>
              <w:t>5mg</w:t>
            </w:r>
            <w:r w:rsidRPr="00807F6B">
              <w:rPr>
                <w:rFonts w:cs="GothicBBB-Medium-Identity-H" w:hint="eastAsia"/>
                <w:sz w:val="18"/>
                <w:szCs w:val="18"/>
              </w:rPr>
              <w:t>まで減量できる。</w:t>
            </w:r>
          </w:p>
          <w:p w14:paraId="406B64D3" w14:textId="77777777" w:rsidR="00897A09" w:rsidRPr="00807F6B" w:rsidRDefault="00897A09" w:rsidP="00807F6B">
            <w:pPr>
              <w:autoSpaceDE w:val="0"/>
              <w:autoSpaceDN w:val="0"/>
              <w:spacing w:line="200" w:lineRule="exact"/>
              <w:ind w:rightChars="-81" w:right="-155"/>
              <w:rPr>
                <w:sz w:val="18"/>
                <w:szCs w:val="18"/>
              </w:rPr>
            </w:pPr>
            <w:r w:rsidRPr="00807F6B">
              <w:rPr>
                <w:sz w:val="18"/>
                <w:szCs w:val="18"/>
              </w:rPr>
              <w:t>投与開始</w:t>
            </w:r>
            <w:r w:rsidRPr="00807F6B">
              <w:rPr>
                <w:sz w:val="18"/>
                <w:szCs w:val="18"/>
              </w:rPr>
              <w:t>12</w:t>
            </w:r>
            <w:r w:rsidRPr="00807F6B">
              <w:rPr>
                <w:sz w:val="18"/>
                <w:szCs w:val="18"/>
              </w:rPr>
              <w:t>週間後までを目安に、認知機能検査、患者及び家族・介護者から自他覚症状の聴取等による有効性評価を行い、認知機能、精神症状・行動障害、日常生活動作等を総合的に評価してベネフィットがリスクを上回ると判断できない場合は、投与を中止すること。投与開始</w:t>
            </w:r>
            <w:r w:rsidRPr="00807F6B">
              <w:rPr>
                <w:sz w:val="18"/>
                <w:szCs w:val="18"/>
              </w:rPr>
              <w:t>12</w:t>
            </w:r>
            <w:r w:rsidRPr="00807F6B">
              <w:rPr>
                <w:sz w:val="18"/>
                <w:szCs w:val="18"/>
              </w:rPr>
              <w:t>週間後までの有効性評価の結果に基づき投与継続を判断した場合であっても、定期的に有効性評価を行い、投与継続の可否を判断すること。</w:t>
            </w:r>
          </w:p>
        </w:tc>
      </w:tr>
      <w:tr w:rsidR="00A00770" w14:paraId="3F374228" w14:textId="77777777" w:rsidTr="000F2862">
        <w:trPr>
          <w:trHeight w:val="1794"/>
        </w:trPr>
        <w:tc>
          <w:tcPr>
            <w:tcW w:w="1749" w:type="dxa"/>
            <w:tcBorders>
              <w:bottom w:val="single" w:sz="4" w:space="0" w:color="auto"/>
            </w:tcBorders>
            <w:vAlign w:val="center"/>
          </w:tcPr>
          <w:p w14:paraId="0DFA86EA" w14:textId="77777777" w:rsidR="00A00770" w:rsidRPr="00075F31" w:rsidRDefault="00A00770" w:rsidP="00A00770">
            <w:pPr>
              <w:jc w:val="distribute"/>
              <w:rPr>
                <w:rFonts w:ascii="Arial" w:eastAsia="ＭＳ ゴシック" w:hAnsi="Arial"/>
              </w:rPr>
            </w:pPr>
            <w:r w:rsidRPr="00075F31">
              <w:rPr>
                <w:rFonts w:ascii="Arial" w:eastAsia="ＭＳ ゴシック" w:hAnsi="ＭＳ ゴシック" w:hint="eastAsia"/>
              </w:rPr>
              <w:t>製品の性状</w:t>
            </w:r>
          </w:p>
        </w:tc>
        <w:tc>
          <w:tcPr>
            <w:tcW w:w="4192" w:type="dxa"/>
            <w:tcBorders>
              <w:bottom w:val="single" w:sz="4" w:space="0" w:color="auto"/>
            </w:tcBorders>
          </w:tcPr>
          <w:p w14:paraId="5F166E96" w14:textId="77777777" w:rsidR="00A00770" w:rsidRPr="00E042E7" w:rsidRDefault="00A00770" w:rsidP="00A00770">
            <w:r>
              <w:rPr>
                <w:rFonts w:hint="eastAsia"/>
              </w:rPr>
              <w:t>赤橙色のフィルムコーティング</w:t>
            </w:r>
            <w:r w:rsidRPr="00E042E7">
              <w:rPr>
                <w:rFonts w:hint="eastAsia"/>
              </w:rPr>
              <w:t>錠</w:t>
            </w:r>
          </w:p>
          <w:tbl>
            <w:tblPr>
              <w:tblW w:w="4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0"/>
              <w:gridCol w:w="950"/>
              <w:gridCol w:w="951"/>
              <w:gridCol w:w="1245"/>
            </w:tblGrid>
            <w:tr w:rsidR="00A00770" w:rsidRPr="00AD0777" w14:paraId="5DA2D637" w14:textId="77777777" w:rsidTr="00DF0E62">
              <w:tc>
                <w:tcPr>
                  <w:tcW w:w="950" w:type="dxa"/>
                  <w:tcMar>
                    <w:left w:w="0" w:type="dxa"/>
                    <w:right w:w="0" w:type="dxa"/>
                  </w:tcMar>
                  <w:vAlign w:val="center"/>
                </w:tcPr>
                <w:p w14:paraId="7A9D5771" w14:textId="77777777" w:rsidR="00A00770" w:rsidRPr="00541F5E" w:rsidRDefault="00A00770" w:rsidP="00A00770">
                  <w:pPr>
                    <w:jc w:val="center"/>
                    <w:rPr>
                      <w:rFonts w:ascii="ＭＳ ゴシック" w:eastAsia="ＭＳ ゴシック" w:hAnsi="ＭＳ ゴシック"/>
                      <w:sz w:val="18"/>
                      <w:szCs w:val="18"/>
                    </w:rPr>
                  </w:pPr>
                  <w:r w:rsidRPr="00541F5E">
                    <w:rPr>
                      <w:rFonts w:ascii="ＭＳ ゴシック" w:eastAsia="ＭＳ ゴシック" w:hAnsi="ＭＳ ゴシック" w:hint="eastAsia"/>
                      <w:sz w:val="18"/>
                      <w:szCs w:val="18"/>
                    </w:rPr>
                    <w:t>表面</w:t>
                  </w:r>
                </w:p>
              </w:tc>
              <w:tc>
                <w:tcPr>
                  <w:tcW w:w="950" w:type="dxa"/>
                  <w:tcMar>
                    <w:left w:w="0" w:type="dxa"/>
                    <w:right w:w="0" w:type="dxa"/>
                  </w:tcMar>
                  <w:vAlign w:val="center"/>
                </w:tcPr>
                <w:p w14:paraId="013079EC" w14:textId="77777777" w:rsidR="00A00770" w:rsidRPr="00541F5E" w:rsidRDefault="00A00770" w:rsidP="00A00770">
                  <w:pPr>
                    <w:jc w:val="center"/>
                    <w:rPr>
                      <w:rFonts w:ascii="ＭＳ ゴシック" w:eastAsia="ＭＳ ゴシック" w:hAnsi="ＭＳ ゴシック"/>
                      <w:sz w:val="18"/>
                      <w:szCs w:val="18"/>
                    </w:rPr>
                  </w:pPr>
                  <w:r w:rsidRPr="00541F5E">
                    <w:rPr>
                      <w:rFonts w:ascii="ＭＳ ゴシック" w:eastAsia="ＭＳ ゴシック" w:hAnsi="ＭＳ ゴシック" w:hint="eastAsia"/>
                      <w:sz w:val="18"/>
                      <w:szCs w:val="18"/>
                    </w:rPr>
                    <w:t>裏面</w:t>
                  </w:r>
                </w:p>
              </w:tc>
              <w:tc>
                <w:tcPr>
                  <w:tcW w:w="951" w:type="dxa"/>
                  <w:tcMar>
                    <w:left w:w="0" w:type="dxa"/>
                    <w:right w:w="0" w:type="dxa"/>
                  </w:tcMar>
                  <w:vAlign w:val="center"/>
                </w:tcPr>
                <w:p w14:paraId="3BC20D8E" w14:textId="77777777" w:rsidR="00A00770" w:rsidRPr="00541F5E" w:rsidRDefault="00A00770" w:rsidP="00A00770">
                  <w:pPr>
                    <w:jc w:val="center"/>
                    <w:rPr>
                      <w:rFonts w:ascii="ＭＳ ゴシック" w:eastAsia="ＭＳ ゴシック" w:hAnsi="ＭＳ ゴシック"/>
                      <w:sz w:val="18"/>
                      <w:szCs w:val="18"/>
                    </w:rPr>
                  </w:pPr>
                  <w:r w:rsidRPr="00541F5E">
                    <w:rPr>
                      <w:rFonts w:ascii="ＭＳ ゴシック" w:eastAsia="ＭＳ ゴシック" w:hAnsi="ＭＳ ゴシック" w:hint="eastAsia"/>
                      <w:sz w:val="18"/>
                      <w:szCs w:val="18"/>
                    </w:rPr>
                    <w:t>側面</w:t>
                  </w:r>
                </w:p>
              </w:tc>
              <w:tc>
                <w:tcPr>
                  <w:tcW w:w="1245" w:type="dxa"/>
                  <w:vMerge w:val="restart"/>
                  <w:tcBorders>
                    <w:top w:val="single" w:sz="4" w:space="0" w:color="FFFFFF"/>
                    <w:bottom w:val="single" w:sz="4" w:space="0" w:color="FFFFFF"/>
                    <w:right w:val="single" w:sz="4" w:space="0" w:color="FFFFFF"/>
                  </w:tcBorders>
                  <w:tcMar>
                    <w:left w:w="28" w:type="dxa"/>
                    <w:right w:w="0" w:type="dxa"/>
                  </w:tcMar>
                </w:tcPr>
                <w:p w14:paraId="1E8ECA9E" w14:textId="77777777" w:rsidR="00A00770" w:rsidRPr="00277A10" w:rsidRDefault="00A00770" w:rsidP="00A00770">
                  <w:pPr>
                    <w:jc w:val="both"/>
                    <w:rPr>
                      <w:szCs w:val="20"/>
                    </w:rPr>
                  </w:pPr>
                  <w:r w:rsidRPr="00277A10">
                    <w:rPr>
                      <w:rFonts w:hint="eastAsia"/>
                      <w:szCs w:val="20"/>
                    </w:rPr>
                    <w:t>直径：</w:t>
                  </w:r>
                  <w:r>
                    <w:rPr>
                      <w:rFonts w:hint="eastAsia"/>
                      <w:szCs w:val="20"/>
                    </w:rPr>
                    <w:t>8.6</w:t>
                  </w:r>
                  <w:r w:rsidRPr="00277A10">
                    <w:rPr>
                      <w:rFonts w:hint="eastAsia"/>
                      <w:szCs w:val="20"/>
                    </w:rPr>
                    <w:t>mm</w:t>
                  </w:r>
                </w:p>
                <w:p w14:paraId="66FFE005" w14:textId="77777777" w:rsidR="00A00770" w:rsidRPr="00277A10" w:rsidRDefault="00A00770" w:rsidP="00A00770">
                  <w:pPr>
                    <w:jc w:val="both"/>
                    <w:rPr>
                      <w:szCs w:val="20"/>
                    </w:rPr>
                  </w:pPr>
                  <w:r w:rsidRPr="00277A10">
                    <w:rPr>
                      <w:rFonts w:hint="eastAsia"/>
                      <w:szCs w:val="20"/>
                    </w:rPr>
                    <w:t>厚さ：</w:t>
                  </w:r>
                  <w:r>
                    <w:rPr>
                      <w:rFonts w:hint="eastAsia"/>
                      <w:szCs w:val="20"/>
                    </w:rPr>
                    <w:t>5.0</w:t>
                  </w:r>
                  <w:r w:rsidRPr="00277A10">
                    <w:rPr>
                      <w:rFonts w:hint="eastAsia"/>
                      <w:szCs w:val="20"/>
                    </w:rPr>
                    <w:t>mm</w:t>
                  </w:r>
                </w:p>
                <w:p w14:paraId="01420ABE" w14:textId="77777777" w:rsidR="00A00770" w:rsidRPr="00AD0777" w:rsidRDefault="00A00770" w:rsidP="00A00770">
                  <w:pPr>
                    <w:jc w:val="both"/>
                  </w:pPr>
                  <w:r w:rsidRPr="00277A10">
                    <w:rPr>
                      <w:rFonts w:hint="eastAsia"/>
                      <w:szCs w:val="20"/>
                    </w:rPr>
                    <w:t>重量：</w:t>
                  </w:r>
                  <w:r>
                    <w:rPr>
                      <w:rFonts w:hint="eastAsia"/>
                      <w:szCs w:val="20"/>
                    </w:rPr>
                    <w:t>280</w:t>
                  </w:r>
                  <w:r w:rsidRPr="00277A10">
                    <w:rPr>
                      <w:rFonts w:hint="eastAsia"/>
                      <w:szCs w:val="20"/>
                    </w:rPr>
                    <w:t>mg</w:t>
                  </w:r>
                </w:p>
              </w:tc>
            </w:tr>
            <w:tr w:rsidR="00A00770" w:rsidRPr="00AD0777" w14:paraId="117BFBE5" w14:textId="77777777" w:rsidTr="00DF0E62">
              <w:trPr>
                <w:trHeight w:hRule="exact" w:val="964"/>
              </w:trPr>
              <w:tc>
                <w:tcPr>
                  <w:tcW w:w="950" w:type="dxa"/>
                  <w:tcMar>
                    <w:top w:w="0" w:type="dxa"/>
                    <w:left w:w="0" w:type="dxa"/>
                    <w:bottom w:w="0" w:type="dxa"/>
                    <w:right w:w="0" w:type="dxa"/>
                  </w:tcMar>
                  <w:vAlign w:val="center"/>
                </w:tcPr>
                <w:p w14:paraId="4B00E8DA" w14:textId="77777777" w:rsidR="00A00770" w:rsidRPr="00A565FC" w:rsidRDefault="00E73DA6" w:rsidP="00A00770">
                  <w:pPr>
                    <w:ind w:leftChars="-2" w:hangingChars="2" w:hanging="4"/>
                    <w:jc w:val="center"/>
                  </w:pPr>
                  <w:r>
                    <w:rPr>
                      <w:noProof/>
                    </w:rPr>
                    <w:drawing>
                      <wp:inline distT="0" distB="0" distL="0" distR="0" wp14:anchorId="75D13B51" wp14:editId="5136A89D">
                        <wp:extent cx="609600" cy="6000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t="795" r="67023"/>
                                <a:stretch>
                                  <a:fillRect/>
                                </a:stretch>
                              </pic:blipFill>
                              <pic:spPr bwMode="auto">
                                <a:xfrm>
                                  <a:off x="0" y="0"/>
                                  <a:ext cx="609600" cy="600075"/>
                                </a:xfrm>
                                <a:prstGeom prst="rect">
                                  <a:avLst/>
                                </a:prstGeom>
                                <a:noFill/>
                                <a:ln>
                                  <a:noFill/>
                                </a:ln>
                                <a:effectLst/>
                              </pic:spPr>
                            </pic:pic>
                          </a:graphicData>
                        </a:graphic>
                      </wp:inline>
                    </w:drawing>
                  </w:r>
                </w:p>
              </w:tc>
              <w:tc>
                <w:tcPr>
                  <w:tcW w:w="950" w:type="dxa"/>
                  <w:tcMar>
                    <w:top w:w="0" w:type="dxa"/>
                    <w:left w:w="0" w:type="dxa"/>
                    <w:bottom w:w="0" w:type="dxa"/>
                    <w:right w:w="0" w:type="dxa"/>
                  </w:tcMar>
                  <w:vAlign w:val="center"/>
                </w:tcPr>
                <w:p w14:paraId="7CF1D593" w14:textId="77777777" w:rsidR="00A00770" w:rsidRPr="00A565FC" w:rsidRDefault="00E73DA6" w:rsidP="00A00770">
                  <w:pPr>
                    <w:ind w:leftChars="-8" w:rightChars="-8" w:right="-15" w:hangingChars="8" w:hanging="15"/>
                    <w:jc w:val="center"/>
                  </w:pPr>
                  <w:r>
                    <w:rPr>
                      <w:noProof/>
                    </w:rPr>
                    <w:drawing>
                      <wp:inline distT="0" distB="0" distL="0" distR="0" wp14:anchorId="2E51B099" wp14:editId="3563D031">
                        <wp:extent cx="609600" cy="590550"/>
                        <wp:effectExtent l="0" t="0" r="0" b="0"/>
                        <wp:docPr id="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l="33717" t="795" r="32988"/>
                                <a:stretch>
                                  <a:fillRect/>
                                </a:stretch>
                              </pic:blipFill>
                              <pic:spPr bwMode="auto">
                                <a:xfrm>
                                  <a:off x="0" y="0"/>
                                  <a:ext cx="609600" cy="590550"/>
                                </a:xfrm>
                                <a:prstGeom prst="rect">
                                  <a:avLst/>
                                </a:prstGeom>
                                <a:noFill/>
                                <a:ln>
                                  <a:noFill/>
                                </a:ln>
                                <a:effectLst/>
                              </pic:spPr>
                            </pic:pic>
                          </a:graphicData>
                        </a:graphic>
                      </wp:inline>
                    </w:drawing>
                  </w:r>
                </w:p>
              </w:tc>
              <w:tc>
                <w:tcPr>
                  <w:tcW w:w="951" w:type="dxa"/>
                  <w:tcMar>
                    <w:top w:w="0" w:type="dxa"/>
                    <w:left w:w="0" w:type="dxa"/>
                    <w:bottom w:w="0" w:type="dxa"/>
                    <w:right w:w="0" w:type="dxa"/>
                  </w:tcMar>
                  <w:vAlign w:val="center"/>
                </w:tcPr>
                <w:p w14:paraId="649B5532" w14:textId="77777777" w:rsidR="00A00770" w:rsidRPr="00A565FC" w:rsidRDefault="00E73DA6" w:rsidP="00A00770">
                  <w:pPr>
                    <w:ind w:leftChars="-2" w:left="-4" w:right="4" w:firstLineChars="1" w:firstLine="2"/>
                    <w:jc w:val="center"/>
                  </w:pPr>
                  <w:r>
                    <w:rPr>
                      <w:noProof/>
                    </w:rPr>
                    <w:drawing>
                      <wp:inline distT="0" distB="0" distL="0" distR="0" wp14:anchorId="40DF5CC1" wp14:editId="53F63C71">
                        <wp:extent cx="590550" cy="56197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l="67352" t="795"/>
                                <a:stretch>
                                  <a:fillRect/>
                                </a:stretch>
                              </pic:blipFill>
                              <pic:spPr bwMode="auto">
                                <a:xfrm>
                                  <a:off x="0" y="0"/>
                                  <a:ext cx="590550" cy="561975"/>
                                </a:xfrm>
                                <a:prstGeom prst="rect">
                                  <a:avLst/>
                                </a:prstGeom>
                                <a:noFill/>
                                <a:ln>
                                  <a:noFill/>
                                </a:ln>
                                <a:effectLst/>
                              </pic:spPr>
                            </pic:pic>
                          </a:graphicData>
                        </a:graphic>
                      </wp:inline>
                    </w:drawing>
                  </w:r>
                </w:p>
              </w:tc>
              <w:tc>
                <w:tcPr>
                  <w:tcW w:w="1245" w:type="dxa"/>
                  <w:vMerge/>
                  <w:tcBorders>
                    <w:bottom w:val="single" w:sz="4" w:space="0" w:color="FFFFFF"/>
                    <w:right w:val="single" w:sz="4" w:space="0" w:color="FFFFFF"/>
                  </w:tcBorders>
                  <w:vAlign w:val="center"/>
                </w:tcPr>
                <w:p w14:paraId="3620557A" w14:textId="77777777" w:rsidR="00A00770" w:rsidRPr="00A565FC" w:rsidRDefault="00A00770" w:rsidP="00A00770"/>
              </w:tc>
            </w:tr>
          </w:tbl>
          <w:p w14:paraId="5C7B3A1C" w14:textId="77777777" w:rsidR="00A00770" w:rsidRDefault="00A00770" w:rsidP="00A00770">
            <w:pPr>
              <w:spacing w:beforeLines="25" w:before="74"/>
              <w:ind w:leftChars="-7" w:hangingChars="7" w:hanging="13"/>
            </w:pPr>
            <w:r w:rsidRPr="00AD0777">
              <w:rPr>
                <w:rFonts w:hint="eastAsia"/>
              </w:rPr>
              <w:t>識別コード：</w:t>
            </w:r>
            <w:r>
              <w:rPr>
                <w:rFonts w:hint="eastAsia"/>
              </w:rPr>
              <w:t>ドネペジル</w:t>
            </w:r>
            <w:r>
              <w:rPr>
                <w:rFonts w:hint="eastAsia"/>
              </w:rPr>
              <w:t xml:space="preserve">  10  DSEP</w:t>
            </w:r>
          </w:p>
          <w:p w14:paraId="7E712DAB" w14:textId="77777777" w:rsidR="00A00770" w:rsidRPr="00866A4E" w:rsidRDefault="00A00770" w:rsidP="00A00770">
            <w:pPr>
              <w:ind w:leftChars="-2" w:left="-4" w:right="-93" w:firstLineChars="595" w:firstLine="1138"/>
              <w:rPr>
                <w:rFonts w:ascii="ＭＳ 明朝" w:hAnsi="ＭＳ 明朝"/>
              </w:rPr>
            </w:pPr>
            <w:r>
              <w:rPr>
                <w:rFonts w:hint="eastAsia"/>
              </w:rPr>
              <w:t>ドネペジル</w:t>
            </w:r>
            <w:r>
              <w:rPr>
                <w:rFonts w:hint="eastAsia"/>
              </w:rPr>
              <w:t xml:space="preserve">  10  </w:t>
            </w:r>
            <w:r>
              <w:rPr>
                <w:rFonts w:hint="eastAsia"/>
              </w:rPr>
              <w:t>第一三共エスファ</w:t>
            </w:r>
          </w:p>
        </w:tc>
        <w:tc>
          <w:tcPr>
            <w:tcW w:w="4193" w:type="dxa"/>
            <w:tcBorders>
              <w:bottom w:val="single" w:sz="4" w:space="0" w:color="auto"/>
            </w:tcBorders>
          </w:tcPr>
          <w:p w14:paraId="56F1EFBB" w14:textId="77777777" w:rsidR="00A00770" w:rsidRPr="00457302" w:rsidRDefault="00A00770" w:rsidP="00A00770">
            <w:r>
              <w:rPr>
                <w:rFonts w:hint="eastAsia"/>
              </w:rPr>
              <w:t>赤橙色のフィルムコーティング</w:t>
            </w:r>
            <w:r w:rsidRPr="00457302">
              <w:rPr>
                <w:rFonts w:hint="eastAsia"/>
              </w:rPr>
              <w:t>錠</w:t>
            </w:r>
          </w:p>
          <w:p w14:paraId="1A86C775" w14:textId="77777777" w:rsidR="00A00770" w:rsidRPr="00457302" w:rsidRDefault="00A00770" w:rsidP="00A00770">
            <w:pPr>
              <w:rPr>
                <w:szCs w:val="20"/>
              </w:rPr>
            </w:pPr>
            <w:r w:rsidRPr="00457302">
              <w:rPr>
                <w:rFonts w:hint="eastAsia"/>
                <w:szCs w:val="20"/>
              </w:rPr>
              <w:t>直径：</w:t>
            </w:r>
            <w:r>
              <w:rPr>
                <w:rFonts w:hint="eastAsia"/>
                <w:szCs w:val="20"/>
              </w:rPr>
              <w:t>8.6</w:t>
            </w:r>
            <w:r w:rsidRPr="00457302">
              <w:rPr>
                <w:rFonts w:hint="eastAsia"/>
                <w:szCs w:val="20"/>
              </w:rPr>
              <w:t>mm</w:t>
            </w:r>
            <w:r>
              <w:rPr>
                <w:rFonts w:hint="eastAsia"/>
                <w:szCs w:val="20"/>
              </w:rPr>
              <w:t xml:space="preserve">　</w:t>
            </w:r>
            <w:r w:rsidRPr="00457302">
              <w:rPr>
                <w:szCs w:val="20"/>
              </w:rPr>
              <w:br/>
            </w:r>
            <w:r w:rsidRPr="00457302">
              <w:rPr>
                <w:rFonts w:hint="eastAsia"/>
                <w:szCs w:val="20"/>
              </w:rPr>
              <w:t>厚さ：</w:t>
            </w:r>
            <w:r>
              <w:rPr>
                <w:rFonts w:hint="eastAsia"/>
                <w:szCs w:val="20"/>
              </w:rPr>
              <w:t>4.8</w:t>
            </w:r>
            <w:r w:rsidRPr="00457302">
              <w:rPr>
                <w:rFonts w:hint="eastAsia"/>
                <w:szCs w:val="20"/>
              </w:rPr>
              <w:t>mm</w:t>
            </w:r>
            <w:r>
              <w:rPr>
                <w:rFonts w:hint="eastAsia"/>
                <w:szCs w:val="20"/>
              </w:rPr>
              <w:t xml:space="preserve">　</w:t>
            </w:r>
            <w:r w:rsidRPr="00457302">
              <w:rPr>
                <w:szCs w:val="20"/>
              </w:rPr>
              <w:br/>
            </w:r>
            <w:r w:rsidRPr="00457302">
              <w:rPr>
                <w:rFonts w:hint="eastAsia"/>
                <w:szCs w:val="20"/>
              </w:rPr>
              <w:t>重量：</w:t>
            </w:r>
            <w:r>
              <w:rPr>
                <w:rFonts w:hint="eastAsia"/>
                <w:szCs w:val="20"/>
              </w:rPr>
              <w:t>278</w:t>
            </w:r>
            <w:r w:rsidRPr="00457302">
              <w:rPr>
                <w:rFonts w:hint="eastAsia"/>
                <w:szCs w:val="20"/>
              </w:rPr>
              <w:t>mg</w:t>
            </w:r>
            <w:r>
              <w:rPr>
                <w:rFonts w:hint="eastAsia"/>
                <w:szCs w:val="20"/>
              </w:rPr>
              <w:t xml:space="preserve">　</w:t>
            </w:r>
            <w:r w:rsidRPr="00457302">
              <w:rPr>
                <w:szCs w:val="20"/>
              </w:rPr>
              <w:br/>
            </w:r>
          </w:p>
          <w:p w14:paraId="3F9E83E8" w14:textId="77777777" w:rsidR="00A00770" w:rsidRPr="00C44F81" w:rsidRDefault="00A00770" w:rsidP="00A00770">
            <w:pPr>
              <w:rPr>
                <w:rFonts w:ascii="ＭＳ 明朝" w:hAnsi="ＭＳ 明朝"/>
                <w:szCs w:val="20"/>
              </w:rPr>
            </w:pPr>
          </w:p>
        </w:tc>
      </w:tr>
      <w:tr w:rsidR="00A00770" w14:paraId="4A642D59" w14:textId="77777777" w:rsidTr="000F2862">
        <w:trPr>
          <w:trHeight w:val="3160"/>
        </w:trPr>
        <w:tc>
          <w:tcPr>
            <w:tcW w:w="1749" w:type="dxa"/>
            <w:vAlign w:val="center"/>
          </w:tcPr>
          <w:p w14:paraId="45F1E16E" w14:textId="77777777" w:rsidR="00A00770" w:rsidRPr="00075F31" w:rsidRDefault="00A00770" w:rsidP="00A00770">
            <w:pPr>
              <w:jc w:val="distribute"/>
              <w:rPr>
                <w:rFonts w:ascii="Arial" w:eastAsia="ＭＳ ゴシック" w:hAnsi="Arial"/>
              </w:rPr>
            </w:pPr>
            <w:r w:rsidRPr="00075F31">
              <w:rPr>
                <w:rFonts w:ascii="Arial" w:eastAsia="ＭＳ ゴシック" w:hAnsi="ＭＳ ゴシック" w:hint="eastAsia"/>
              </w:rPr>
              <w:t>先発品との</w:t>
            </w:r>
          </w:p>
          <w:p w14:paraId="6B621E30" w14:textId="77777777" w:rsidR="00A00770" w:rsidRPr="00075F31" w:rsidRDefault="00A00770" w:rsidP="00A00770">
            <w:pPr>
              <w:jc w:val="distribute"/>
              <w:rPr>
                <w:rFonts w:ascii="Arial" w:eastAsia="ＭＳ ゴシック" w:hAnsi="Arial"/>
                <w:sz w:val="22"/>
              </w:rPr>
            </w:pPr>
            <w:r w:rsidRPr="00075F31">
              <w:rPr>
                <w:rFonts w:ascii="Arial" w:eastAsia="ＭＳ ゴシック" w:hAnsi="ＭＳ ゴシック" w:hint="eastAsia"/>
              </w:rPr>
              <w:t>同等性</w:t>
            </w:r>
          </w:p>
        </w:tc>
        <w:tc>
          <w:tcPr>
            <w:tcW w:w="4192" w:type="dxa"/>
          </w:tcPr>
          <w:p w14:paraId="2E2D007D" w14:textId="77777777" w:rsidR="00A00770" w:rsidRPr="00075F31" w:rsidRDefault="00A00770" w:rsidP="00757179">
            <w:pPr>
              <w:spacing w:after="80"/>
              <w:rPr>
                <w:rFonts w:ascii="Arial" w:eastAsia="ＭＳ ゴシック" w:hAnsi="Arial"/>
                <w:lang w:eastAsia="zh-TW"/>
              </w:rPr>
            </w:pPr>
            <w:r>
              <w:rPr>
                <w:rFonts w:ascii="Arial" w:eastAsia="ＭＳ ゴシック" w:hAnsi="Arial" w:hint="eastAsia"/>
                <w:lang w:eastAsia="zh-TW"/>
              </w:rPr>
              <w:t>溶出試験（試験液：</w:t>
            </w:r>
            <w:r>
              <w:rPr>
                <w:rFonts w:ascii="Arial" w:eastAsia="ＭＳ ゴシック" w:hAnsi="Arial" w:hint="eastAsia"/>
                <w:lang w:eastAsia="zh-TW"/>
              </w:rPr>
              <w:t>pH1.2</w:t>
            </w:r>
            <w:r w:rsidRPr="00075F31">
              <w:rPr>
                <w:rFonts w:ascii="Arial" w:eastAsia="ＭＳ ゴシック" w:hAnsi="Arial" w:hint="eastAsia"/>
                <w:lang w:eastAsia="zh-TW"/>
              </w:rPr>
              <w:t xml:space="preserve">　</w:t>
            </w:r>
            <w:r>
              <w:rPr>
                <w:rFonts w:ascii="Arial" w:eastAsia="ＭＳ ゴシック" w:hAnsi="Arial" w:hint="eastAsia"/>
                <w:lang w:eastAsia="zh-TW"/>
              </w:rPr>
              <w:t>5</w:t>
            </w:r>
            <w:r w:rsidRPr="00075F31">
              <w:rPr>
                <w:rFonts w:ascii="Arial" w:eastAsia="ＭＳ ゴシック" w:hAnsi="Arial" w:hint="eastAsia"/>
                <w:lang w:eastAsia="zh-TW"/>
              </w:rPr>
              <w:t>0rpm</w:t>
            </w:r>
            <w:r w:rsidRPr="00075F31">
              <w:rPr>
                <w:rFonts w:ascii="Arial" w:eastAsia="ＭＳ ゴシック" w:hAnsi="Arial" w:hint="eastAsia"/>
                <w:lang w:eastAsia="zh-TW"/>
              </w:rPr>
              <w:t>）</w:t>
            </w:r>
          </w:p>
          <w:p w14:paraId="0F78885D" w14:textId="77777777" w:rsidR="00A00770" w:rsidRPr="00457302" w:rsidRDefault="00E73DA6" w:rsidP="00A00770">
            <w:pPr>
              <w:tabs>
                <w:tab w:val="left" w:pos="1132"/>
              </w:tabs>
              <w:snapToGrid w:val="0"/>
              <w:ind w:leftChars="-51" w:hangingChars="51" w:hanging="98"/>
              <w:jc w:val="center"/>
              <w:rPr>
                <w:sz w:val="16"/>
              </w:rPr>
            </w:pPr>
            <w:r>
              <w:rPr>
                <w:noProof/>
              </w:rPr>
              <w:drawing>
                <wp:inline distT="0" distB="0" distL="0" distR="0" wp14:anchorId="28799D35" wp14:editId="5C90D225">
                  <wp:extent cx="2667000" cy="1724025"/>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0" cy="1724025"/>
                          </a:xfrm>
                          <a:prstGeom prst="rect">
                            <a:avLst/>
                          </a:prstGeom>
                          <a:noFill/>
                          <a:ln>
                            <a:noFill/>
                          </a:ln>
                        </pic:spPr>
                      </pic:pic>
                    </a:graphicData>
                  </a:graphic>
                </wp:inline>
              </w:drawing>
            </w:r>
          </w:p>
          <w:p w14:paraId="1E14202B" w14:textId="77777777" w:rsidR="00A00770" w:rsidRPr="00457302" w:rsidRDefault="00A00770" w:rsidP="00757179">
            <w:pPr>
              <w:tabs>
                <w:tab w:val="left" w:pos="1132"/>
              </w:tabs>
              <w:snapToGrid w:val="0"/>
              <w:spacing w:before="100"/>
              <w:jc w:val="both"/>
              <w:rPr>
                <w:sz w:val="16"/>
              </w:rPr>
            </w:pPr>
            <w:r w:rsidRPr="00F55898">
              <w:rPr>
                <w:rFonts w:ascii="ＭＳ 明朝" w:hAnsi="ＭＳ 明朝" w:hint="eastAsia"/>
                <w:sz w:val="16"/>
              </w:rPr>
              <w:t>「後発医薬品の生物</w:t>
            </w:r>
            <w:r>
              <w:rPr>
                <w:rFonts w:ascii="ＭＳ 明朝" w:hAnsi="ＭＳ 明朝" w:hint="eastAsia"/>
                <w:sz w:val="16"/>
              </w:rPr>
              <w:t>学的同等性試験ガイドライン」に基づき判定した結果、両製剤の溶出挙動は類似している</w:t>
            </w:r>
            <w:r w:rsidRPr="00F55898">
              <w:rPr>
                <w:rFonts w:ascii="ＭＳ 明朝" w:hAnsi="ＭＳ 明朝" w:hint="eastAsia"/>
                <w:sz w:val="16"/>
              </w:rPr>
              <w:t>と</w:t>
            </w:r>
            <w:r>
              <w:rPr>
                <w:rFonts w:ascii="ＭＳ 明朝" w:hAnsi="ＭＳ 明朝" w:hint="eastAsia"/>
                <w:sz w:val="16"/>
              </w:rPr>
              <w:t>判定</w:t>
            </w:r>
            <w:r w:rsidRPr="00F55898">
              <w:rPr>
                <w:rFonts w:ascii="ＭＳ 明朝" w:hAnsi="ＭＳ 明朝" w:hint="eastAsia"/>
                <w:sz w:val="16"/>
              </w:rPr>
              <w:t>された。</w:t>
            </w:r>
          </w:p>
        </w:tc>
        <w:tc>
          <w:tcPr>
            <w:tcW w:w="4193" w:type="dxa"/>
          </w:tcPr>
          <w:p w14:paraId="0522D6EF" w14:textId="77777777" w:rsidR="00A00770" w:rsidRPr="00F12A9C" w:rsidRDefault="00A00770" w:rsidP="00A00770">
            <w:pPr>
              <w:rPr>
                <w:rFonts w:ascii="ＭＳ ゴシック" w:eastAsia="ＭＳ ゴシック" w:hAnsi="ＭＳ ゴシック"/>
                <w:noProof/>
                <w:spacing w:val="-2"/>
              </w:rPr>
            </w:pPr>
            <w:r w:rsidRPr="00F12A9C">
              <w:rPr>
                <w:rFonts w:ascii="ＭＳ ゴシック" w:eastAsia="ＭＳ ゴシック" w:hAnsi="ＭＳ ゴシック" w:hint="eastAsia"/>
                <w:noProof/>
                <w:spacing w:val="-2"/>
              </w:rPr>
              <w:t>血中濃度比較試験（ヒト、空腹時）</w:t>
            </w:r>
          </w:p>
          <w:p w14:paraId="249C42FA" w14:textId="77777777" w:rsidR="00A00770" w:rsidRPr="00457302" w:rsidRDefault="00E73DA6" w:rsidP="00A00770">
            <w:pPr>
              <w:tabs>
                <w:tab w:val="left" w:pos="1132"/>
              </w:tabs>
              <w:snapToGrid w:val="0"/>
              <w:ind w:leftChars="-47" w:hangingChars="47" w:hanging="90"/>
              <w:jc w:val="center"/>
              <w:rPr>
                <w:sz w:val="16"/>
              </w:rPr>
            </w:pPr>
            <w:r>
              <w:rPr>
                <w:noProof/>
              </w:rPr>
              <w:drawing>
                <wp:inline distT="0" distB="0" distL="0" distR="0" wp14:anchorId="3ADAB1C1" wp14:editId="72E20A8F">
                  <wp:extent cx="2667000" cy="1847850"/>
                  <wp:effectExtent l="0" t="0" r="0" b="0"/>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7000" cy="1847850"/>
                          </a:xfrm>
                          <a:prstGeom prst="rect">
                            <a:avLst/>
                          </a:prstGeom>
                          <a:noFill/>
                          <a:ln>
                            <a:noFill/>
                          </a:ln>
                        </pic:spPr>
                      </pic:pic>
                    </a:graphicData>
                  </a:graphic>
                </wp:inline>
              </w:drawing>
            </w:r>
          </w:p>
          <w:p w14:paraId="19C2347C" w14:textId="77777777" w:rsidR="00A00770" w:rsidRPr="00CA409E" w:rsidRDefault="00A00770" w:rsidP="00A00770">
            <w:pPr>
              <w:jc w:val="both"/>
              <w:rPr>
                <w:rFonts w:ascii="ＭＳ ゴシック" w:eastAsia="ＭＳ ゴシック" w:hAnsi="ＭＳ ゴシック"/>
                <w:sz w:val="18"/>
                <w:szCs w:val="18"/>
              </w:rPr>
            </w:pPr>
            <w:r>
              <w:rPr>
                <w:rFonts w:hint="eastAsia"/>
                <w:sz w:val="16"/>
              </w:rPr>
              <w:t>「</w:t>
            </w:r>
            <w:r w:rsidRPr="0064233C">
              <w:rPr>
                <w:rFonts w:hint="eastAsia"/>
                <w:sz w:val="16"/>
              </w:rPr>
              <w:t>後発医薬品の</w:t>
            </w:r>
            <w:r w:rsidRPr="00C45CC7">
              <w:rPr>
                <w:rFonts w:hAnsi="ＭＳ ゴシック" w:hint="eastAsia"/>
                <w:sz w:val="16"/>
                <w:szCs w:val="16"/>
              </w:rPr>
              <w:t>生物学的同等性</w:t>
            </w:r>
            <w:r>
              <w:rPr>
                <w:rFonts w:hAnsi="ＭＳ ゴシック" w:hint="eastAsia"/>
                <w:sz w:val="16"/>
                <w:szCs w:val="16"/>
              </w:rPr>
              <w:t>試験ガイドライン</w:t>
            </w:r>
            <w:r>
              <w:rPr>
                <w:rFonts w:ascii="ＭＳ 明朝" w:hAnsi="ＭＳ 明朝" w:hint="eastAsia"/>
                <w:sz w:val="16"/>
              </w:rPr>
              <w:t>」</w:t>
            </w:r>
            <w:r w:rsidRPr="00C45CC7">
              <w:rPr>
                <w:rFonts w:hint="eastAsia"/>
                <w:sz w:val="16"/>
              </w:rPr>
              <w:t>に基づき</w:t>
            </w:r>
            <w:r>
              <w:rPr>
                <w:rFonts w:ascii="ＭＳ 明朝" w:hAnsi="ＭＳ 明朝" w:hint="eastAsia"/>
                <w:sz w:val="16"/>
              </w:rPr>
              <w:t>判定した結果、</w:t>
            </w:r>
            <w:r w:rsidRPr="00C45CC7">
              <w:rPr>
                <w:rFonts w:hint="eastAsia"/>
                <w:sz w:val="16"/>
              </w:rPr>
              <w:t>両製剤は生物学的に同等であると判定された。</w:t>
            </w:r>
          </w:p>
        </w:tc>
      </w:tr>
      <w:tr w:rsidR="00A00770" w14:paraId="2BA43C73" w14:textId="77777777" w:rsidTr="0046766A">
        <w:trPr>
          <w:trHeight w:hRule="exact" w:val="510"/>
        </w:trPr>
        <w:tc>
          <w:tcPr>
            <w:tcW w:w="1749" w:type="dxa"/>
            <w:tcBorders>
              <w:bottom w:val="single" w:sz="4" w:space="0" w:color="auto"/>
            </w:tcBorders>
            <w:vAlign w:val="center"/>
          </w:tcPr>
          <w:p w14:paraId="002C80EF" w14:textId="77777777" w:rsidR="00A00770" w:rsidRPr="00075F31" w:rsidRDefault="00A00770" w:rsidP="00A00770">
            <w:pPr>
              <w:jc w:val="distribute"/>
              <w:rPr>
                <w:rFonts w:ascii="Arial" w:eastAsia="ＭＳ ゴシック" w:hAnsi="Arial"/>
              </w:rPr>
            </w:pPr>
            <w:r w:rsidRPr="00075F31">
              <w:rPr>
                <w:rFonts w:ascii="Arial" w:eastAsia="ＭＳ ゴシック" w:hAnsi="ＭＳ ゴシック" w:hint="eastAsia"/>
              </w:rPr>
              <w:t>備考</w:t>
            </w:r>
          </w:p>
        </w:tc>
        <w:tc>
          <w:tcPr>
            <w:tcW w:w="8385" w:type="dxa"/>
            <w:gridSpan w:val="2"/>
            <w:tcBorders>
              <w:bottom w:val="single" w:sz="4" w:space="0" w:color="auto"/>
            </w:tcBorders>
            <w:vAlign w:val="center"/>
          </w:tcPr>
          <w:p w14:paraId="465AFCE2" w14:textId="77777777" w:rsidR="00A00770" w:rsidRPr="00512D05" w:rsidRDefault="00A00770" w:rsidP="00A00770"/>
        </w:tc>
      </w:tr>
      <w:tr w:rsidR="00A00770" w14:paraId="3C19EE0A" w14:textId="77777777" w:rsidTr="0046766A">
        <w:trPr>
          <w:trHeight w:hRule="exact" w:val="510"/>
        </w:trPr>
        <w:tc>
          <w:tcPr>
            <w:tcW w:w="1749" w:type="dxa"/>
            <w:vAlign w:val="center"/>
          </w:tcPr>
          <w:p w14:paraId="56AFE18A" w14:textId="77777777" w:rsidR="00A00770" w:rsidRPr="00075F31" w:rsidRDefault="00A00770" w:rsidP="00A00770">
            <w:pPr>
              <w:jc w:val="distribute"/>
              <w:rPr>
                <w:rFonts w:ascii="Arial" w:eastAsia="ＭＳ ゴシック" w:hAnsi="Arial"/>
              </w:rPr>
            </w:pPr>
            <w:r w:rsidRPr="00075F31">
              <w:rPr>
                <w:rFonts w:ascii="Arial" w:eastAsia="ＭＳ ゴシック" w:hAnsi="ＭＳ ゴシック" w:hint="eastAsia"/>
              </w:rPr>
              <w:t>担当者、連絡先</w:t>
            </w:r>
          </w:p>
        </w:tc>
        <w:tc>
          <w:tcPr>
            <w:tcW w:w="8385" w:type="dxa"/>
            <w:gridSpan w:val="2"/>
            <w:vAlign w:val="center"/>
          </w:tcPr>
          <w:p w14:paraId="346C5C33" w14:textId="77777777" w:rsidR="00A00770" w:rsidRDefault="00A00770" w:rsidP="00A00770">
            <w:pPr>
              <w:rPr>
                <w:rFonts w:ascii="ＭＳ ゴシック" w:eastAsia="ＭＳ ゴシック" w:hAnsi="ＭＳ ゴシック"/>
                <w:sz w:val="22"/>
              </w:rPr>
            </w:pPr>
          </w:p>
        </w:tc>
      </w:tr>
    </w:tbl>
    <w:p w14:paraId="49CDC37C" w14:textId="77777777" w:rsidR="00757179" w:rsidRPr="008038EF" w:rsidRDefault="00C907E4" w:rsidP="00757179">
      <w:pPr>
        <w:tabs>
          <w:tab w:val="right" w:pos="10149"/>
        </w:tabs>
        <w:jc w:val="right"/>
      </w:pPr>
      <w:r>
        <w:t>2026</w:t>
      </w:r>
      <w:r>
        <w:t>年</w:t>
      </w:r>
      <w:r>
        <w:t>4</w:t>
      </w:r>
      <w:r>
        <w:t>月</w:t>
      </w:r>
    </w:p>
    <w:sectPr w:rsidR="00757179" w:rsidRPr="008038EF" w:rsidSect="00746DC4">
      <w:headerReference w:type="default" r:id="rId13"/>
      <w:pgSz w:w="11906" w:h="16838" w:code="9"/>
      <w:pgMar w:top="851" w:right="737" w:bottom="567" w:left="1021" w:header="567" w:footer="284" w:gutter="0"/>
      <w:cols w:space="708"/>
      <w:docGrid w:type="linesAndChars" w:linePitch="296"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A104D" w14:textId="77777777" w:rsidR="00237F8E" w:rsidRDefault="00237F8E">
      <w:r>
        <w:separator/>
      </w:r>
    </w:p>
  </w:endnote>
  <w:endnote w:type="continuationSeparator" w:id="0">
    <w:p w14:paraId="2BABDE5C" w14:textId="77777777" w:rsidR="00237F8E" w:rsidRDefault="00237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GothicBBB-Medium-Identity-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12C48" w14:textId="77777777" w:rsidR="00237F8E" w:rsidRDefault="00237F8E">
      <w:r>
        <w:separator/>
      </w:r>
    </w:p>
  </w:footnote>
  <w:footnote w:type="continuationSeparator" w:id="0">
    <w:p w14:paraId="50BEA1D0" w14:textId="77777777" w:rsidR="00237F8E" w:rsidRDefault="00237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9D806" w14:textId="77777777" w:rsidR="00A41680" w:rsidRDefault="00A4168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1942104625">
    <w:abstractNumId w:val="0"/>
  </w:num>
  <w:num w:numId="2" w16cid:durableId="1564411716">
    <w:abstractNumId w:val="3"/>
  </w:num>
  <w:num w:numId="3" w16cid:durableId="258683801">
    <w:abstractNumId w:val="2"/>
  </w:num>
  <w:num w:numId="4" w16cid:durableId="1055541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1"/>
  <w:drawingGridVerticalSpacing w:val="148"/>
  <w:displayVerticalDrawingGridEvery w:val="2"/>
  <w:noPunctuationKerning/>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1DCF"/>
    <w:rsid w:val="00012E99"/>
    <w:rsid w:val="00016D81"/>
    <w:rsid w:val="00020621"/>
    <w:rsid w:val="00030401"/>
    <w:rsid w:val="0004380B"/>
    <w:rsid w:val="00062D26"/>
    <w:rsid w:val="00075F31"/>
    <w:rsid w:val="00081323"/>
    <w:rsid w:val="0008386E"/>
    <w:rsid w:val="0009004F"/>
    <w:rsid w:val="00094338"/>
    <w:rsid w:val="000B726F"/>
    <w:rsid w:val="000C2984"/>
    <w:rsid w:val="000C30EE"/>
    <w:rsid w:val="000D7B1B"/>
    <w:rsid w:val="000F0DC7"/>
    <w:rsid w:val="000F2862"/>
    <w:rsid w:val="00100115"/>
    <w:rsid w:val="001011F0"/>
    <w:rsid w:val="0010128E"/>
    <w:rsid w:val="001154ED"/>
    <w:rsid w:val="00141DC8"/>
    <w:rsid w:val="001430C6"/>
    <w:rsid w:val="00154614"/>
    <w:rsid w:val="00162347"/>
    <w:rsid w:val="001847D6"/>
    <w:rsid w:val="001B0F9E"/>
    <w:rsid w:val="001B3FDA"/>
    <w:rsid w:val="001D6D38"/>
    <w:rsid w:val="001E53DB"/>
    <w:rsid w:val="001E6DD1"/>
    <w:rsid w:val="001F0644"/>
    <w:rsid w:val="002007CB"/>
    <w:rsid w:val="002251A6"/>
    <w:rsid w:val="00230196"/>
    <w:rsid w:val="0023143C"/>
    <w:rsid w:val="00237F8E"/>
    <w:rsid w:val="002530B7"/>
    <w:rsid w:val="00255A2E"/>
    <w:rsid w:val="002701A0"/>
    <w:rsid w:val="00277A10"/>
    <w:rsid w:val="002B0A3D"/>
    <w:rsid w:val="002E1FCC"/>
    <w:rsid w:val="002F4E60"/>
    <w:rsid w:val="002F744D"/>
    <w:rsid w:val="0032067C"/>
    <w:rsid w:val="0032478C"/>
    <w:rsid w:val="0033138A"/>
    <w:rsid w:val="00340D59"/>
    <w:rsid w:val="00346DB4"/>
    <w:rsid w:val="00352C5C"/>
    <w:rsid w:val="003563C0"/>
    <w:rsid w:val="00356F15"/>
    <w:rsid w:val="00361611"/>
    <w:rsid w:val="00362ADE"/>
    <w:rsid w:val="00374471"/>
    <w:rsid w:val="00386C27"/>
    <w:rsid w:val="00393396"/>
    <w:rsid w:val="003A1510"/>
    <w:rsid w:val="003A1A60"/>
    <w:rsid w:val="003A39F9"/>
    <w:rsid w:val="003B2497"/>
    <w:rsid w:val="003B439D"/>
    <w:rsid w:val="003B4C9D"/>
    <w:rsid w:val="003B7560"/>
    <w:rsid w:val="003D2DF8"/>
    <w:rsid w:val="003F5874"/>
    <w:rsid w:val="003F674C"/>
    <w:rsid w:val="00401F56"/>
    <w:rsid w:val="00412B30"/>
    <w:rsid w:val="004250C0"/>
    <w:rsid w:val="004254C4"/>
    <w:rsid w:val="00442D80"/>
    <w:rsid w:val="00445E65"/>
    <w:rsid w:val="004527DC"/>
    <w:rsid w:val="004538E0"/>
    <w:rsid w:val="00457302"/>
    <w:rsid w:val="004646FC"/>
    <w:rsid w:val="0046766A"/>
    <w:rsid w:val="004676F6"/>
    <w:rsid w:val="00470AB9"/>
    <w:rsid w:val="00471D66"/>
    <w:rsid w:val="004927E5"/>
    <w:rsid w:val="00492940"/>
    <w:rsid w:val="004936DD"/>
    <w:rsid w:val="004B325C"/>
    <w:rsid w:val="004B7FCF"/>
    <w:rsid w:val="004C3530"/>
    <w:rsid w:val="004D023A"/>
    <w:rsid w:val="004D380B"/>
    <w:rsid w:val="004D3FF9"/>
    <w:rsid w:val="004E2AEB"/>
    <w:rsid w:val="004E34DB"/>
    <w:rsid w:val="004F3F50"/>
    <w:rsid w:val="0050017E"/>
    <w:rsid w:val="00500499"/>
    <w:rsid w:val="0050632E"/>
    <w:rsid w:val="00512D05"/>
    <w:rsid w:val="00532337"/>
    <w:rsid w:val="00541F5E"/>
    <w:rsid w:val="00554C1B"/>
    <w:rsid w:val="005877FC"/>
    <w:rsid w:val="005909CF"/>
    <w:rsid w:val="00592716"/>
    <w:rsid w:val="005A4765"/>
    <w:rsid w:val="005A6AEF"/>
    <w:rsid w:val="005B1C19"/>
    <w:rsid w:val="005B2795"/>
    <w:rsid w:val="005D7609"/>
    <w:rsid w:val="005E14C8"/>
    <w:rsid w:val="005E1A4A"/>
    <w:rsid w:val="005E1CC1"/>
    <w:rsid w:val="005E6AAD"/>
    <w:rsid w:val="005F29DC"/>
    <w:rsid w:val="006057A3"/>
    <w:rsid w:val="006105B5"/>
    <w:rsid w:val="006132A2"/>
    <w:rsid w:val="0061671E"/>
    <w:rsid w:val="0064233C"/>
    <w:rsid w:val="00644A89"/>
    <w:rsid w:val="00654341"/>
    <w:rsid w:val="006548F9"/>
    <w:rsid w:val="00655FCF"/>
    <w:rsid w:val="00662CDD"/>
    <w:rsid w:val="006866B3"/>
    <w:rsid w:val="00695AC7"/>
    <w:rsid w:val="006975A1"/>
    <w:rsid w:val="006C0238"/>
    <w:rsid w:val="006C3A32"/>
    <w:rsid w:val="006C4CA3"/>
    <w:rsid w:val="006E1D69"/>
    <w:rsid w:val="006E1DD6"/>
    <w:rsid w:val="00701912"/>
    <w:rsid w:val="00711299"/>
    <w:rsid w:val="00714438"/>
    <w:rsid w:val="00717414"/>
    <w:rsid w:val="007201AF"/>
    <w:rsid w:val="00743E15"/>
    <w:rsid w:val="00746DC4"/>
    <w:rsid w:val="00756344"/>
    <w:rsid w:val="00757179"/>
    <w:rsid w:val="007646A7"/>
    <w:rsid w:val="0078300E"/>
    <w:rsid w:val="00784E44"/>
    <w:rsid w:val="007912EA"/>
    <w:rsid w:val="007A2541"/>
    <w:rsid w:val="007C0A0A"/>
    <w:rsid w:val="007C7B43"/>
    <w:rsid w:val="00800F26"/>
    <w:rsid w:val="00801EDA"/>
    <w:rsid w:val="008037B6"/>
    <w:rsid w:val="008038EF"/>
    <w:rsid w:val="00807F6B"/>
    <w:rsid w:val="00832085"/>
    <w:rsid w:val="00843996"/>
    <w:rsid w:val="00844233"/>
    <w:rsid w:val="00854CF8"/>
    <w:rsid w:val="00857732"/>
    <w:rsid w:val="00866A4E"/>
    <w:rsid w:val="00871DE5"/>
    <w:rsid w:val="0087356E"/>
    <w:rsid w:val="00877A5F"/>
    <w:rsid w:val="00884DAB"/>
    <w:rsid w:val="00892A07"/>
    <w:rsid w:val="0089721D"/>
    <w:rsid w:val="00897A09"/>
    <w:rsid w:val="008B12B9"/>
    <w:rsid w:val="008B163F"/>
    <w:rsid w:val="008C33A2"/>
    <w:rsid w:val="008C6679"/>
    <w:rsid w:val="008E05D5"/>
    <w:rsid w:val="008E4A0D"/>
    <w:rsid w:val="009164F5"/>
    <w:rsid w:val="0094328E"/>
    <w:rsid w:val="00947D37"/>
    <w:rsid w:val="0095009F"/>
    <w:rsid w:val="00954615"/>
    <w:rsid w:val="00963338"/>
    <w:rsid w:val="009672D3"/>
    <w:rsid w:val="00984003"/>
    <w:rsid w:val="009A712F"/>
    <w:rsid w:val="009C3F8D"/>
    <w:rsid w:val="009D2760"/>
    <w:rsid w:val="009D6935"/>
    <w:rsid w:val="00A00770"/>
    <w:rsid w:val="00A02678"/>
    <w:rsid w:val="00A03E9A"/>
    <w:rsid w:val="00A042CD"/>
    <w:rsid w:val="00A14245"/>
    <w:rsid w:val="00A22B5D"/>
    <w:rsid w:val="00A26A65"/>
    <w:rsid w:val="00A40865"/>
    <w:rsid w:val="00A41680"/>
    <w:rsid w:val="00A42893"/>
    <w:rsid w:val="00A44188"/>
    <w:rsid w:val="00A565FC"/>
    <w:rsid w:val="00A57C9E"/>
    <w:rsid w:val="00A8382A"/>
    <w:rsid w:val="00AA5BAC"/>
    <w:rsid w:val="00AD0777"/>
    <w:rsid w:val="00AD42EB"/>
    <w:rsid w:val="00AE5867"/>
    <w:rsid w:val="00B016F8"/>
    <w:rsid w:val="00B03AA2"/>
    <w:rsid w:val="00B10078"/>
    <w:rsid w:val="00B1359F"/>
    <w:rsid w:val="00B140D7"/>
    <w:rsid w:val="00B5140D"/>
    <w:rsid w:val="00B60FE7"/>
    <w:rsid w:val="00B613B3"/>
    <w:rsid w:val="00B678C5"/>
    <w:rsid w:val="00B976D1"/>
    <w:rsid w:val="00B97F77"/>
    <w:rsid w:val="00BB3580"/>
    <w:rsid w:val="00BB439D"/>
    <w:rsid w:val="00BC012E"/>
    <w:rsid w:val="00BC07F9"/>
    <w:rsid w:val="00BC516F"/>
    <w:rsid w:val="00BC5A3D"/>
    <w:rsid w:val="00BD15DE"/>
    <w:rsid w:val="00BE2756"/>
    <w:rsid w:val="00BF2D1F"/>
    <w:rsid w:val="00BF478F"/>
    <w:rsid w:val="00C05290"/>
    <w:rsid w:val="00C2543A"/>
    <w:rsid w:val="00C25ED1"/>
    <w:rsid w:val="00C34587"/>
    <w:rsid w:val="00C34F43"/>
    <w:rsid w:val="00C3535C"/>
    <w:rsid w:val="00C44F81"/>
    <w:rsid w:val="00C4795F"/>
    <w:rsid w:val="00C5310F"/>
    <w:rsid w:val="00C60DDA"/>
    <w:rsid w:val="00C64099"/>
    <w:rsid w:val="00C80B50"/>
    <w:rsid w:val="00C874B2"/>
    <w:rsid w:val="00C907E4"/>
    <w:rsid w:val="00CA409E"/>
    <w:rsid w:val="00CB2344"/>
    <w:rsid w:val="00CB7F28"/>
    <w:rsid w:val="00CC5333"/>
    <w:rsid w:val="00CF2690"/>
    <w:rsid w:val="00CF4077"/>
    <w:rsid w:val="00D159AA"/>
    <w:rsid w:val="00D25EA7"/>
    <w:rsid w:val="00D407D5"/>
    <w:rsid w:val="00D75D7E"/>
    <w:rsid w:val="00D761B1"/>
    <w:rsid w:val="00D7648B"/>
    <w:rsid w:val="00D82F5A"/>
    <w:rsid w:val="00D8557C"/>
    <w:rsid w:val="00D96E98"/>
    <w:rsid w:val="00DA0680"/>
    <w:rsid w:val="00DB5B59"/>
    <w:rsid w:val="00DC23BC"/>
    <w:rsid w:val="00DC63E9"/>
    <w:rsid w:val="00DE24CE"/>
    <w:rsid w:val="00DF0E62"/>
    <w:rsid w:val="00E042E7"/>
    <w:rsid w:val="00E1665B"/>
    <w:rsid w:val="00E21501"/>
    <w:rsid w:val="00E26858"/>
    <w:rsid w:val="00E33F9C"/>
    <w:rsid w:val="00E436DD"/>
    <w:rsid w:val="00E43A75"/>
    <w:rsid w:val="00E4561E"/>
    <w:rsid w:val="00E51C27"/>
    <w:rsid w:val="00E52E5E"/>
    <w:rsid w:val="00E6091D"/>
    <w:rsid w:val="00E62ECF"/>
    <w:rsid w:val="00E64882"/>
    <w:rsid w:val="00E65BBD"/>
    <w:rsid w:val="00E7077A"/>
    <w:rsid w:val="00E708F5"/>
    <w:rsid w:val="00E73DA6"/>
    <w:rsid w:val="00E76BBA"/>
    <w:rsid w:val="00E82CE6"/>
    <w:rsid w:val="00EA41E6"/>
    <w:rsid w:val="00EB38C1"/>
    <w:rsid w:val="00EB5590"/>
    <w:rsid w:val="00EC02CD"/>
    <w:rsid w:val="00ED0B20"/>
    <w:rsid w:val="00ED6938"/>
    <w:rsid w:val="00ED79B9"/>
    <w:rsid w:val="00EE380E"/>
    <w:rsid w:val="00F04DC7"/>
    <w:rsid w:val="00F11F46"/>
    <w:rsid w:val="00F123F8"/>
    <w:rsid w:val="00F4006A"/>
    <w:rsid w:val="00F4076B"/>
    <w:rsid w:val="00F51702"/>
    <w:rsid w:val="00F74AD0"/>
    <w:rsid w:val="00F81049"/>
    <w:rsid w:val="00F91FBE"/>
    <w:rsid w:val="00F96E85"/>
    <w:rsid w:val="00F979A4"/>
    <w:rsid w:val="00FA1BA6"/>
    <w:rsid w:val="00FA2E2F"/>
    <w:rsid w:val="00FB1327"/>
    <w:rsid w:val="00FB227A"/>
    <w:rsid w:val="00FB5A62"/>
    <w:rsid w:val="00FC7D9E"/>
    <w:rsid w:val="00FE5765"/>
    <w:rsid w:val="00FE6976"/>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506EEABD"/>
  <w15:chartTrackingRefBased/>
  <w15:docId w15:val="{464C5CF6-D136-4758-AD87-BEBA47D99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66B3"/>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L3b">
    <w:name w:val="L3b"/>
    <w:rsid w:val="00D761B1"/>
    <w:pPr>
      <w:widowControl w:val="0"/>
      <w:adjustRightInd w:val="0"/>
      <w:ind w:left="510"/>
      <w:jc w:val="both"/>
      <w:textAlignment w:val="baseline"/>
    </w:pPr>
    <w:rPr>
      <w:rFonts w:ascii="Century" w:hAnsi="Century"/>
      <w:noProof/>
      <w:color w:val="000000"/>
    </w:rPr>
  </w:style>
  <w:style w:type="paragraph" w:styleId="a5">
    <w:name w:val="Plain Text"/>
    <w:basedOn w:val="a"/>
    <w:rsid w:val="00D761B1"/>
    <w:pPr>
      <w:widowControl w:val="0"/>
      <w:adjustRightInd w:val="0"/>
      <w:jc w:val="both"/>
      <w:textAlignment w:val="baseline"/>
    </w:pPr>
    <w:rPr>
      <w:rFonts w:ascii="ＭＳ 明朝" w:hAnsi="Courier New"/>
      <w:spacing w:val="12"/>
      <w:kern w:val="2"/>
      <w:szCs w:val="20"/>
    </w:rPr>
  </w:style>
  <w:style w:type="table" w:styleId="a6">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bl">
    <w:name w:val="cover-tbl"/>
    <w:rsid w:val="00D761B1"/>
    <w:pPr>
      <w:widowControl w:val="0"/>
      <w:adjustRightInd w:val="0"/>
      <w:jc w:val="both"/>
      <w:textAlignment w:val="baseline"/>
    </w:pPr>
    <w:rPr>
      <w:rFonts w:ascii="ＭＳ ゴシック" w:eastAsia="ＭＳ ゴシック" w:hAnsi="Century"/>
      <w:noProof/>
      <w:color w:val="000000"/>
    </w:rPr>
  </w:style>
  <w:style w:type="paragraph" w:customStyle="1" w:styleId="hb10">
    <w:name w:val="hb10"/>
    <w:basedOn w:val="L3b"/>
    <w:rsid w:val="00016D81"/>
  </w:style>
  <w:style w:type="paragraph" w:styleId="a7">
    <w:name w:val="Block Text"/>
    <w:basedOn w:val="a"/>
    <w:rsid w:val="00AD0777"/>
    <w:pPr>
      <w:widowControl w:val="0"/>
      <w:spacing w:before="120"/>
      <w:ind w:left="426" w:right="57" w:hanging="426"/>
      <w:jc w:val="both"/>
    </w:pPr>
    <w:rPr>
      <w:rFonts w:ascii="Mincho" w:eastAsia="Mincho"/>
      <w:kern w:val="2"/>
      <w:sz w:val="21"/>
      <w:szCs w:val="20"/>
    </w:rPr>
  </w:style>
  <w:style w:type="paragraph" w:styleId="a8">
    <w:name w:val="Balloon Text"/>
    <w:basedOn w:val="a"/>
    <w:semiHidden/>
    <w:rsid w:val="004B325C"/>
    <w:rPr>
      <w:rFonts w:ascii="Arial" w:eastAsia="ＭＳ ゴシック" w:hAnsi="Arial"/>
      <w:sz w:val="18"/>
      <w:szCs w:val="18"/>
    </w:rPr>
  </w:style>
  <w:style w:type="paragraph" w:styleId="a9">
    <w:name w:val="Date"/>
    <w:basedOn w:val="a"/>
    <w:next w:val="a"/>
    <w:rsid w:val="00001DCF"/>
  </w:style>
  <w:style w:type="paragraph" w:customStyle="1" w:styleId="L2b">
    <w:name w:val="L2b"/>
    <w:rsid w:val="001E6DD1"/>
    <w:pPr>
      <w:widowControl w:val="0"/>
      <w:adjustRightInd w:val="0"/>
      <w:ind w:left="284"/>
      <w:jc w:val="both"/>
      <w:textAlignment w:val="baseline"/>
    </w:pPr>
    <w:rPr>
      <w:rFonts w:ascii="Century" w:hAnsi="Century"/>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6A30F-B29A-4DF5-9AB0-8D29C5485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593</Words>
  <Characters>642</Characters>
  <Application>Microsoft Office Word</Application>
  <DocSecurity>0</DocSecurity>
  <Lines>45</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後　　発　　品</vt:lpstr>
    </vt:vector>
  </TitlesOfParts>
  <Company>大原薬品工業株式会社</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KITAMURA TOSHINARI / 北村 俊成</dc:creator>
  <cp:keywords/>
  <cp:lastModifiedBy>SUZUKI YUMINA/鈴木 由実奈</cp:lastModifiedBy>
  <cp:revision>3</cp:revision>
  <cp:lastPrinted>2013-07-23T04:52:00Z</cp:lastPrinted>
  <dcterms:created xsi:type="dcterms:W3CDTF">2024-03-14T01:52:00Z</dcterms:created>
  <dcterms:modified xsi:type="dcterms:W3CDTF">2026-03-13T06:58:00Z</dcterms:modified>
</cp:coreProperties>
</file>