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918A" w14:textId="77777777" w:rsidR="008E4A0D" w:rsidRPr="00324AF5" w:rsidRDefault="008E4A0D" w:rsidP="00BC012E">
      <w:pPr>
        <w:tabs>
          <w:tab w:val="left" w:pos="1774"/>
          <w:tab w:val="left" w:pos="5521"/>
        </w:tabs>
        <w:spacing w:line="280" w:lineRule="exact"/>
        <w:jc w:val="center"/>
        <w:rPr>
          <w:rFonts w:ascii="Arial" w:eastAsia="ＭＳ ゴシック" w:hAnsi="Arial"/>
          <w:sz w:val="24"/>
        </w:rPr>
      </w:pPr>
      <w:r w:rsidRPr="00324AF5">
        <w:rPr>
          <w:rFonts w:ascii="Arial" w:eastAsia="ＭＳ ゴシック" w:hAnsi="ＭＳ ゴシック" w:hint="eastAsia"/>
          <w:sz w:val="24"/>
        </w:rPr>
        <w:t>製品別比較表（標準製剤との比較）</w:t>
      </w:r>
      <w:r w:rsidR="00AF648E">
        <w:rPr>
          <w:rFonts w:ascii="ＭＳ ゴシック" w:eastAsia="ＭＳ ゴシック" w:hAnsi="ＭＳ ゴシック" w:hint="eastAsia"/>
          <w:sz w:val="24"/>
        </w:rPr>
        <w:t>（</w:t>
      </w:r>
      <w:r w:rsidRPr="00324AF5">
        <w:rPr>
          <w:rFonts w:ascii="Arial" w:eastAsia="ＭＳ ゴシック" w:hAnsi="ＭＳ ゴシック" w:hint="eastAsia"/>
          <w:sz w:val="24"/>
        </w:rPr>
        <w:t>案</w:t>
      </w:r>
      <w:r w:rsidR="00AF648E">
        <w:rPr>
          <w:rFonts w:ascii="ＭＳ ゴシック"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185"/>
        <w:gridCol w:w="4185"/>
      </w:tblGrid>
      <w:tr w:rsidR="008E4A0D" w14:paraId="65576167" w14:textId="77777777" w:rsidTr="00D76ABB">
        <w:trPr>
          <w:trHeight w:hRule="exact" w:val="340"/>
        </w:trPr>
        <w:tc>
          <w:tcPr>
            <w:tcW w:w="1764" w:type="dxa"/>
          </w:tcPr>
          <w:p w14:paraId="3DFD0D69" w14:textId="77777777" w:rsidR="008E4A0D" w:rsidRPr="00324AF5" w:rsidRDefault="008E4A0D" w:rsidP="000832E5">
            <w:pPr>
              <w:jc w:val="distribute"/>
              <w:rPr>
                <w:rFonts w:ascii="Arial" w:eastAsia="ＭＳ ゴシック" w:hAnsi="Arial"/>
              </w:rPr>
            </w:pPr>
          </w:p>
        </w:tc>
        <w:tc>
          <w:tcPr>
            <w:tcW w:w="4185" w:type="dxa"/>
            <w:vAlign w:val="center"/>
          </w:tcPr>
          <w:p w14:paraId="2FF84A6A" w14:textId="77777777" w:rsidR="008E4A0D" w:rsidRPr="00324AF5" w:rsidRDefault="008E4A0D" w:rsidP="008E0703">
            <w:pPr>
              <w:jc w:val="center"/>
              <w:rPr>
                <w:rFonts w:ascii="Arial" w:eastAsia="ＭＳ ゴシック" w:hAnsi="Arial"/>
              </w:rPr>
            </w:pPr>
            <w:r w:rsidRPr="00324AF5">
              <w:rPr>
                <w:rFonts w:ascii="Arial" w:eastAsia="ＭＳ ゴシック" w:hAnsi="ＭＳ ゴシック" w:hint="eastAsia"/>
              </w:rPr>
              <w:t>後　　発　　品</w:t>
            </w:r>
          </w:p>
        </w:tc>
        <w:tc>
          <w:tcPr>
            <w:tcW w:w="4185" w:type="dxa"/>
            <w:vAlign w:val="center"/>
          </w:tcPr>
          <w:p w14:paraId="634B931B" w14:textId="77777777" w:rsidR="008E4A0D" w:rsidRPr="00324AF5" w:rsidRDefault="008E4A0D" w:rsidP="001018C5">
            <w:pPr>
              <w:jc w:val="center"/>
              <w:rPr>
                <w:rFonts w:ascii="Arial" w:eastAsia="ＭＳ ゴシック" w:hAnsi="Arial"/>
              </w:rPr>
            </w:pPr>
            <w:r w:rsidRPr="00324AF5">
              <w:rPr>
                <w:rFonts w:ascii="Arial" w:eastAsia="ＭＳ ゴシック" w:hAnsi="ＭＳ ゴシック" w:hint="eastAsia"/>
              </w:rPr>
              <w:t>先　　発　　品</w:t>
            </w:r>
          </w:p>
        </w:tc>
      </w:tr>
      <w:tr w:rsidR="00B016F8" w14:paraId="2039B56F" w14:textId="77777777" w:rsidTr="00D76ABB">
        <w:trPr>
          <w:trHeight w:hRule="exact" w:val="340"/>
        </w:trPr>
        <w:tc>
          <w:tcPr>
            <w:tcW w:w="1764" w:type="dxa"/>
            <w:vAlign w:val="center"/>
          </w:tcPr>
          <w:p w14:paraId="64408A27" w14:textId="77777777" w:rsidR="00B016F8" w:rsidRPr="00324AF5" w:rsidRDefault="00B016F8" w:rsidP="000832E5">
            <w:pPr>
              <w:jc w:val="distribute"/>
              <w:rPr>
                <w:rFonts w:ascii="Arial" w:eastAsia="ＭＳ ゴシック" w:hAnsi="Arial"/>
              </w:rPr>
            </w:pPr>
            <w:r w:rsidRPr="00324AF5">
              <w:rPr>
                <w:rFonts w:ascii="Arial" w:eastAsia="ＭＳ ゴシック" w:hAnsi="ＭＳ ゴシック" w:hint="eastAsia"/>
              </w:rPr>
              <w:t>会　　社　　名</w:t>
            </w:r>
          </w:p>
        </w:tc>
        <w:tc>
          <w:tcPr>
            <w:tcW w:w="4185" w:type="dxa"/>
            <w:vAlign w:val="center"/>
          </w:tcPr>
          <w:p w14:paraId="1B00DCED" w14:textId="77777777" w:rsidR="00B016F8" w:rsidRPr="00324AF5" w:rsidRDefault="00B016F8" w:rsidP="008E0703">
            <w:pPr>
              <w:jc w:val="center"/>
              <w:rPr>
                <w:szCs w:val="20"/>
              </w:rPr>
            </w:pPr>
            <w:r w:rsidRPr="00324AF5">
              <w:rPr>
                <w:rFonts w:hint="eastAsia"/>
                <w:szCs w:val="20"/>
              </w:rPr>
              <w:t>第一三共エスファ株式会社</w:t>
            </w:r>
          </w:p>
        </w:tc>
        <w:tc>
          <w:tcPr>
            <w:tcW w:w="4185" w:type="dxa"/>
            <w:vAlign w:val="center"/>
          </w:tcPr>
          <w:p w14:paraId="0B283303" w14:textId="77777777" w:rsidR="00B016F8" w:rsidRPr="00324AF5" w:rsidRDefault="00B016F8" w:rsidP="001018C5">
            <w:pPr>
              <w:jc w:val="center"/>
              <w:rPr>
                <w:szCs w:val="20"/>
              </w:rPr>
            </w:pPr>
          </w:p>
        </w:tc>
      </w:tr>
      <w:tr w:rsidR="00B016F8" w14:paraId="6ED8AED2" w14:textId="77777777" w:rsidTr="00D76ABB">
        <w:trPr>
          <w:trHeight w:hRule="exact" w:val="340"/>
        </w:trPr>
        <w:tc>
          <w:tcPr>
            <w:tcW w:w="1764" w:type="dxa"/>
            <w:vAlign w:val="center"/>
          </w:tcPr>
          <w:p w14:paraId="60F237C4" w14:textId="77777777" w:rsidR="00B016F8" w:rsidRPr="00324AF5" w:rsidRDefault="001775F5" w:rsidP="000832E5">
            <w:pPr>
              <w:jc w:val="distribute"/>
              <w:rPr>
                <w:rFonts w:ascii="Arial" w:eastAsia="ＭＳ ゴシック" w:hAnsi="Arial"/>
              </w:rPr>
            </w:pPr>
            <w:r>
              <w:rPr>
                <w:rFonts w:ascii="Arial" w:eastAsia="ＭＳ ゴシック" w:hAnsi="ＭＳ ゴシック" w:hint="eastAsia"/>
              </w:rPr>
              <w:t>製</w:t>
            </w:r>
            <w:r w:rsidR="00B016F8" w:rsidRPr="00324AF5">
              <w:rPr>
                <w:rFonts w:ascii="Arial" w:eastAsia="ＭＳ ゴシック" w:hAnsi="ＭＳ ゴシック" w:hint="eastAsia"/>
              </w:rPr>
              <w:t xml:space="preserve">　　品　　名</w:t>
            </w:r>
          </w:p>
        </w:tc>
        <w:tc>
          <w:tcPr>
            <w:tcW w:w="4185" w:type="dxa"/>
            <w:vAlign w:val="center"/>
          </w:tcPr>
          <w:p w14:paraId="47524F3E" w14:textId="77777777" w:rsidR="00B016F8" w:rsidRPr="00324AF5" w:rsidRDefault="001E3358" w:rsidP="00836C0D">
            <w:pPr>
              <w:jc w:val="center"/>
              <w:rPr>
                <w:rFonts w:ascii="Arial" w:eastAsia="ＭＳ ゴシック" w:hAnsi="Arial"/>
                <w:vertAlign w:val="subscript"/>
              </w:rPr>
            </w:pPr>
            <w:r>
              <w:rPr>
                <w:rFonts w:ascii="Arial" w:eastAsia="ＭＳ ゴシック" w:hAnsi="ＭＳ ゴシック" w:hint="eastAsia"/>
              </w:rPr>
              <w:t>ボグリボース</w:t>
            </w:r>
            <w:r w:rsidR="00057369" w:rsidRPr="00324AF5">
              <w:rPr>
                <w:rFonts w:ascii="Arial" w:eastAsia="ＭＳ ゴシック" w:hAnsi="ＭＳ ゴシック" w:hint="eastAsia"/>
              </w:rPr>
              <w:t>錠</w:t>
            </w:r>
            <w:r w:rsidR="00893052" w:rsidRPr="00324AF5">
              <w:rPr>
                <w:rFonts w:ascii="Arial" w:eastAsia="ＭＳ ゴシック" w:hAnsi="Arial" w:hint="eastAsia"/>
              </w:rPr>
              <w:t>0.3</w:t>
            </w:r>
            <w:r w:rsidR="00057369" w:rsidRPr="00324AF5">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YD</w:t>
            </w:r>
            <w:r>
              <w:rPr>
                <w:rFonts w:ascii="Arial" w:eastAsia="ＭＳ ゴシック" w:hAnsi="Arial" w:hint="eastAsia"/>
              </w:rPr>
              <w:t>」</w:t>
            </w:r>
          </w:p>
        </w:tc>
        <w:tc>
          <w:tcPr>
            <w:tcW w:w="4185" w:type="dxa"/>
            <w:vAlign w:val="center"/>
          </w:tcPr>
          <w:p w14:paraId="3BB6CCB9" w14:textId="3D5A93B9" w:rsidR="00B016F8" w:rsidRPr="001B04D4" w:rsidRDefault="001B04D4" w:rsidP="001018C5">
            <w:pPr>
              <w:jc w:val="center"/>
              <w:rPr>
                <w:rFonts w:ascii="Arial" w:eastAsia="ＭＳ ゴシック" w:hAnsi="Arial" w:cs="Arial"/>
              </w:rPr>
            </w:pPr>
            <w:r w:rsidRPr="001B04D4">
              <w:rPr>
                <w:rFonts w:ascii="Arial" w:eastAsia="ＭＳ ゴシック" w:hAnsi="Arial" w:cs="Arial" w:hint="eastAsia"/>
              </w:rPr>
              <w:t>ベイスン錠</w:t>
            </w:r>
            <w:r w:rsidRPr="001B04D4">
              <w:rPr>
                <w:rFonts w:ascii="Arial" w:eastAsia="ＭＳ ゴシック" w:hAnsi="Arial" w:cs="Arial" w:hint="eastAsia"/>
              </w:rPr>
              <w:t>0.3</w:t>
            </w:r>
          </w:p>
        </w:tc>
      </w:tr>
      <w:tr w:rsidR="00B016F8" w14:paraId="2F8CEF48" w14:textId="77777777" w:rsidTr="00D76ABB">
        <w:trPr>
          <w:trHeight w:hRule="exact" w:val="340"/>
        </w:trPr>
        <w:tc>
          <w:tcPr>
            <w:tcW w:w="1764" w:type="dxa"/>
            <w:vAlign w:val="center"/>
          </w:tcPr>
          <w:p w14:paraId="09B7916C" w14:textId="77777777" w:rsidR="00B016F8" w:rsidRPr="00324AF5" w:rsidRDefault="00B016F8" w:rsidP="000832E5">
            <w:pPr>
              <w:jc w:val="distribute"/>
              <w:rPr>
                <w:rFonts w:ascii="Arial" w:eastAsia="ＭＳ ゴシック" w:hAnsi="Arial"/>
              </w:rPr>
            </w:pPr>
            <w:r w:rsidRPr="00324AF5">
              <w:rPr>
                <w:rFonts w:ascii="Arial" w:eastAsia="ＭＳ ゴシック" w:hAnsi="ＭＳ ゴシック" w:hint="eastAsia"/>
              </w:rPr>
              <w:t>薬　　　　　価</w:t>
            </w:r>
          </w:p>
        </w:tc>
        <w:tc>
          <w:tcPr>
            <w:tcW w:w="4185" w:type="dxa"/>
            <w:vAlign w:val="center"/>
          </w:tcPr>
          <w:p w14:paraId="62529BB2" w14:textId="77777777" w:rsidR="00B016F8" w:rsidRPr="00CA3BFE" w:rsidRDefault="00951DDA" w:rsidP="0040384A">
            <w:pPr>
              <w:jc w:val="center"/>
              <w:rPr>
                <w:szCs w:val="20"/>
              </w:rPr>
            </w:pPr>
            <w:r>
              <w:rPr>
                <w:rFonts w:hint="eastAsia"/>
                <w:szCs w:val="20"/>
              </w:rPr>
              <w:t>1</w:t>
            </w:r>
            <w:r>
              <w:rPr>
                <w:szCs w:val="20"/>
              </w:rPr>
              <w:t>0.10</w:t>
            </w:r>
            <w:r w:rsidR="00B016F8" w:rsidRPr="00CA3BFE">
              <w:rPr>
                <w:rFonts w:hint="eastAsia"/>
                <w:szCs w:val="20"/>
              </w:rPr>
              <w:t>円</w:t>
            </w:r>
          </w:p>
        </w:tc>
        <w:tc>
          <w:tcPr>
            <w:tcW w:w="4185" w:type="dxa"/>
            <w:vAlign w:val="center"/>
          </w:tcPr>
          <w:p w14:paraId="162BF61A" w14:textId="366113A2" w:rsidR="00B016F8" w:rsidRPr="00CA3BFE" w:rsidRDefault="001B04D4" w:rsidP="0040384A">
            <w:pPr>
              <w:jc w:val="center"/>
              <w:rPr>
                <w:szCs w:val="20"/>
              </w:rPr>
            </w:pPr>
            <w:r>
              <w:rPr>
                <w:rFonts w:hint="eastAsia"/>
                <w:szCs w:val="20"/>
              </w:rPr>
              <w:t>16.70</w:t>
            </w:r>
            <w:r w:rsidR="00B016F8" w:rsidRPr="00CA3BFE">
              <w:rPr>
                <w:rFonts w:hint="eastAsia"/>
                <w:szCs w:val="20"/>
              </w:rPr>
              <w:t>円</w:t>
            </w:r>
          </w:p>
        </w:tc>
      </w:tr>
      <w:tr w:rsidR="00CC5333" w14:paraId="278E558A" w14:textId="77777777" w:rsidTr="00D76ABB">
        <w:trPr>
          <w:trHeight w:hRule="exact" w:val="340"/>
        </w:trPr>
        <w:tc>
          <w:tcPr>
            <w:tcW w:w="1764" w:type="dxa"/>
            <w:vAlign w:val="center"/>
          </w:tcPr>
          <w:p w14:paraId="792D09BB" w14:textId="77777777" w:rsidR="00CC5333" w:rsidRPr="00324AF5" w:rsidRDefault="00CC5333" w:rsidP="000832E5">
            <w:pPr>
              <w:jc w:val="distribute"/>
              <w:rPr>
                <w:rFonts w:ascii="Arial" w:eastAsia="ＭＳ ゴシック" w:hAnsi="Arial"/>
              </w:rPr>
            </w:pPr>
            <w:r w:rsidRPr="00324AF5">
              <w:rPr>
                <w:rFonts w:ascii="Arial" w:eastAsia="ＭＳ ゴシック" w:hAnsi="ＭＳ ゴシック" w:hint="eastAsia"/>
              </w:rPr>
              <w:t>規　　　　　格</w:t>
            </w:r>
          </w:p>
        </w:tc>
        <w:tc>
          <w:tcPr>
            <w:tcW w:w="8370" w:type="dxa"/>
            <w:gridSpan w:val="2"/>
            <w:vAlign w:val="center"/>
          </w:tcPr>
          <w:p w14:paraId="4FDB3508" w14:textId="77777777" w:rsidR="00CC5333" w:rsidRPr="00B016F8" w:rsidRDefault="00B016F8" w:rsidP="008E0703">
            <w:pPr>
              <w:jc w:val="center"/>
            </w:pPr>
            <w:r w:rsidRPr="00324AF5">
              <w:t xml:space="preserve">1 </w:t>
            </w:r>
            <w:r w:rsidRPr="00324AF5">
              <w:rPr>
                <w:rFonts w:hint="eastAsia"/>
              </w:rPr>
              <w:t>錠中に</w:t>
            </w:r>
            <w:r w:rsidR="00057369" w:rsidRPr="00836C0D">
              <w:rPr>
                <w:rFonts w:ascii="Arial" w:eastAsia="ＭＳ ゴシック" w:hAnsi="Arial" w:hint="eastAsia"/>
              </w:rPr>
              <w:t>ボグリボース</w:t>
            </w:r>
            <w:r w:rsidR="00996DAE" w:rsidRPr="00836C0D">
              <w:rPr>
                <w:rFonts w:ascii="Arial" w:eastAsia="ＭＳ ゴシック" w:hAnsi="Arial" w:hint="eastAsia"/>
              </w:rPr>
              <w:t>（日局）</w:t>
            </w:r>
            <w:r w:rsidR="00057369" w:rsidRPr="00324AF5">
              <w:rPr>
                <w:rFonts w:hint="eastAsia"/>
              </w:rPr>
              <w:t>0.</w:t>
            </w:r>
            <w:r w:rsidR="00893052" w:rsidRPr="00324AF5">
              <w:rPr>
                <w:rFonts w:hint="eastAsia"/>
              </w:rPr>
              <w:t>3</w:t>
            </w:r>
            <w:r w:rsidRPr="00324AF5">
              <w:t>mg</w:t>
            </w:r>
            <w:r w:rsidRPr="00324AF5">
              <w:rPr>
                <w:rFonts w:hint="eastAsia"/>
              </w:rPr>
              <w:t>を含有</w:t>
            </w:r>
          </w:p>
        </w:tc>
      </w:tr>
      <w:tr w:rsidR="001775F5" w14:paraId="796EFB14" w14:textId="77777777" w:rsidTr="00D910BB">
        <w:tc>
          <w:tcPr>
            <w:tcW w:w="1764" w:type="dxa"/>
            <w:vAlign w:val="center"/>
          </w:tcPr>
          <w:p w14:paraId="3B83C475"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添加物</w:t>
            </w:r>
          </w:p>
        </w:tc>
        <w:tc>
          <w:tcPr>
            <w:tcW w:w="4185" w:type="dxa"/>
            <w:tcBorders>
              <w:right w:val="single" w:sz="4" w:space="0" w:color="auto"/>
            </w:tcBorders>
          </w:tcPr>
          <w:p w14:paraId="491483C3" w14:textId="77777777" w:rsidR="001775F5" w:rsidRPr="00324AF5" w:rsidRDefault="001775F5" w:rsidP="001775F5">
            <w:pPr>
              <w:rPr>
                <w:szCs w:val="20"/>
              </w:rPr>
            </w:pPr>
            <w:r w:rsidRPr="00324AF5">
              <w:rPr>
                <w:rFonts w:hint="eastAsia"/>
                <w:szCs w:val="20"/>
              </w:rPr>
              <w:t>乳糖水和物、トウモロコシデンプン、ヒドロキシプロピルセルロース、ステアリン酸</w:t>
            </w:r>
            <w:r w:rsidRPr="00324AF5">
              <w:rPr>
                <w:rFonts w:hint="eastAsia"/>
                <w:szCs w:val="20"/>
              </w:rPr>
              <w:t>Mg</w:t>
            </w:r>
          </w:p>
        </w:tc>
        <w:tc>
          <w:tcPr>
            <w:tcW w:w="4185" w:type="dxa"/>
            <w:tcBorders>
              <w:left w:val="single" w:sz="4" w:space="0" w:color="auto"/>
            </w:tcBorders>
          </w:tcPr>
          <w:p w14:paraId="330F9FB7" w14:textId="77777777" w:rsidR="001775F5" w:rsidRPr="00324AF5" w:rsidRDefault="001775F5" w:rsidP="001775F5">
            <w:pPr>
              <w:rPr>
                <w:szCs w:val="20"/>
              </w:rPr>
            </w:pPr>
            <w:r w:rsidRPr="00324AF5">
              <w:rPr>
                <w:rFonts w:hint="eastAsia"/>
                <w:szCs w:val="20"/>
              </w:rPr>
              <w:t>トウモロコシデンプン、ヒドロキシプロピルセルロース、ステアリン酸マグネシウム、乳糖水和物</w:t>
            </w:r>
          </w:p>
        </w:tc>
      </w:tr>
      <w:tr w:rsidR="001775F5" w14:paraId="0892F3AE" w14:textId="77777777" w:rsidTr="00D76ABB">
        <w:trPr>
          <w:trHeight w:hRule="exact" w:val="340"/>
        </w:trPr>
        <w:tc>
          <w:tcPr>
            <w:tcW w:w="1764" w:type="dxa"/>
            <w:vAlign w:val="center"/>
          </w:tcPr>
          <w:p w14:paraId="31A33909" w14:textId="77777777" w:rsidR="001775F5" w:rsidRPr="00324AF5" w:rsidRDefault="001775F5" w:rsidP="001775F5">
            <w:pPr>
              <w:jc w:val="distribute"/>
              <w:rPr>
                <w:rFonts w:ascii="Arial" w:eastAsia="ＭＳ ゴシック" w:hAnsi="Arial"/>
              </w:rPr>
            </w:pPr>
            <w:r w:rsidRPr="0048694E">
              <w:rPr>
                <w:rFonts w:ascii="Arial" w:eastAsia="ＭＳ ゴシック" w:hAnsi="ＭＳ ゴシック" w:hint="eastAsia"/>
              </w:rPr>
              <w:t>薬効分類名</w:t>
            </w:r>
          </w:p>
        </w:tc>
        <w:tc>
          <w:tcPr>
            <w:tcW w:w="8370" w:type="dxa"/>
            <w:gridSpan w:val="2"/>
            <w:vAlign w:val="center"/>
          </w:tcPr>
          <w:p w14:paraId="5DCFD107" w14:textId="77777777" w:rsidR="001775F5" w:rsidRPr="00824BF8" w:rsidRDefault="001775F5" w:rsidP="001775F5">
            <w:pPr>
              <w:jc w:val="center"/>
              <w:rPr>
                <w:szCs w:val="20"/>
              </w:rPr>
            </w:pPr>
            <w:r w:rsidRPr="00824BF8">
              <w:rPr>
                <w:rFonts w:hint="eastAsia"/>
                <w:szCs w:val="20"/>
              </w:rPr>
              <w:t>食後過血糖改善剤</w:t>
            </w:r>
          </w:p>
        </w:tc>
      </w:tr>
      <w:tr w:rsidR="001775F5" w14:paraId="2949E7BF" w14:textId="77777777" w:rsidTr="0037046D">
        <w:trPr>
          <w:trHeight w:val="20"/>
        </w:trPr>
        <w:tc>
          <w:tcPr>
            <w:tcW w:w="1764" w:type="dxa"/>
            <w:vAlign w:val="center"/>
          </w:tcPr>
          <w:p w14:paraId="089B108A" w14:textId="77777777" w:rsidR="001775F5" w:rsidRPr="00324AF5" w:rsidRDefault="001775F5" w:rsidP="001775F5">
            <w:pPr>
              <w:jc w:val="distribute"/>
              <w:rPr>
                <w:rFonts w:ascii="Arial" w:eastAsia="ＭＳ ゴシック" w:hAnsi="Arial"/>
              </w:rPr>
            </w:pPr>
            <w:r w:rsidRPr="00872908">
              <w:rPr>
                <w:rFonts w:ascii="Arial" w:eastAsia="ＭＳ ゴシック" w:hAnsi="ＭＳ ゴシック" w:hint="eastAsia"/>
              </w:rPr>
              <w:t>効能・効果</w:t>
            </w:r>
          </w:p>
        </w:tc>
        <w:tc>
          <w:tcPr>
            <w:tcW w:w="8370" w:type="dxa"/>
            <w:gridSpan w:val="2"/>
          </w:tcPr>
          <w:p w14:paraId="3FD625B2" w14:textId="77777777" w:rsidR="001775F5" w:rsidRPr="008E36B6" w:rsidRDefault="001775F5" w:rsidP="001775F5">
            <w:pPr>
              <w:jc w:val="both"/>
              <w:rPr>
                <w:szCs w:val="20"/>
              </w:rPr>
            </w:pPr>
            <w:r w:rsidRPr="008E36B6">
              <w:rPr>
                <w:rFonts w:hint="eastAsia"/>
                <w:szCs w:val="20"/>
              </w:rPr>
              <w:t>糖尿病の食後過血糖の改善</w:t>
            </w:r>
          </w:p>
          <w:p w14:paraId="1570F3E9" w14:textId="77777777" w:rsidR="001775F5" w:rsidRPr="00324AF5" w:rsidRDefault="001775F5" w:rsidP="001775F5">
            <w:pPr>
              <w:rPr>
                <w:szCs w:val="20"/>
              </w:rPr>
            </w:pPr>
            <w:r w:rsidRPr="008E36B6">
              <w:rPr>
                <w:rFonts w:hint="eastAsia"/>
                <w:szCs w:val="20"/>
              </w:rPr>
              <w:t>（ただし、食事療法・運動療法を行っている患者で十分な効果が得られない場合、又は食事療法・運動療法に加えて経口血糖降下剤若しくはインスリン製剤を使用している患者で十分な効果が得られない場合に限る）</w:t>
            </w:r>
          </w:p>
        </w:tc>
      </w:tr>
      <w:tr w:rsidR="001775F5" w14:paraId="14354800" w14:textId="77777777" w:rsidTr="00FD6ADE">
        <w:trPr>
          <w:trHeight w:val="20"/>
        </w:trPr>
        <w:tc>
          <w:tcPr>
            <w:tcW w:w="1764" w:type="dxa"/>
            <w:vAlign w:val="center"/>
          </w:tcPr>
          <w:p w14:paraId="134C4369" w14:textId="77777777" w:rsidR="001775F5" w:rsidRPr="00324AF5" w:rsidRDefault="001775F5" w:rsidP="001775F5">
            <w:pPr>
              <w:jc w:val="distribute"/>
              <w:rPr>
                <w:rFonts w:ascii="Arial" w:eastAsia="ＭＳ ゴシック" w:hAnsi="Arial"/>
              </w:rPr>
            </w:pPr>
            <w:r w:rsidRPr="00872908">
              <w:rPr>
                <w:rFonts w:ascii="Arial" w:eastAsia="ＭＳ ゴシック" w:hAnsi="ＭＳ ゴシック" w:hint="eastAsia"/>
              </w:rPr>
              <w:t>用法・用量</w:t>
            </w:r>
          </w:p>
        </w:tc>
        <w:tc>
          <w:tcPr>
            <w:tcW w:w="8370" w:type="dxa"/>
            <w:gridSpan w:val="2"/>
            <w:vAlign w:val="center"/>
          </w:tcPr>
          <w:p w14:paraId="6FC2CF62" w14:textId="77777777" w:rsidR="001775F5" w:rsidRPr="007570F0" w:rsidRDefault="001775F5" w:rsidP="001775F5">
            <w:pPr>
              <w:jc w:val="both"/>
              <w:rPr>
                <w:szCs w:val="20"/>
              </w:rPr>
            </w:pPr>
            <w:r w:rsidRPr="008E36B6">
              <w:rPr>
                <w:rFonts w:hint="eastAsia"/>
                <w:szCs w:val="20"/>
              </w:rPr>
              <w:t>通常、成人にはボグリボースとして</w:t>
            </w:r>
            <w:r w:rsidRPr="008E36B6">
              <w:rPr>
                <w:rFonts w:hint="eastAsia"/>
                <w:szCs w:val="20"/>
              </w:rPr>
              <w:t>1</w:t>
            </w:r>
            <w:r w:rsidRPr="008E36B6">
              <w:rPr>
                <w:rFonts w:hint="eastAsia"/>
                <w:szCs w:val="20"/>
              </w:rPr>
              <w:t>回</w:t>
            </w:r>
            <w:r w:rsidRPr="008E36B6">
              <w:rPr>
                <w:rFonts w:hint="eastAsia"/>
                <w:szCs w:val="20"/>
              </w:rPr>
              <w:t>0.2mg</w:t>
            </w:r>
            <w:r w:rsidRPr="008E36B6">
              <w:rPr>
                <w:rFonts w:hint="eastAsia"/>
                <w:szCs w:val="20"/>
              </w:rPr>
              <w:t>を</w:t>
            </w:r>
            <w:r w:rsidRPr="008E36B6">
              <w:rPr>
                <w:rFonts w:hint="eastAsia"/>
                <w:szCs w:val="20"/>
              </w:rPr>
              <w:t>1</w:t>
            </w:r>
            <w:r w:rsidRPr="008E36B6">
              <w:rPr>
                <w:rFonts w:hint="eastAsia"/>
                <w:szCs w:val="20"/>
              </w:rPr>
              <w:t>日</w:t>
            </w:r>
            <w:r w:rsidRPr="008E36B6">
              <w:rPr>
                <w:rFonts w:hint="eastAsia"/>
                <w:szCs w:val="20"/>
              </w:rPr>
              <w:t>3</w:t>
            </w:r>
            <w:r w:rsidRPr="007570F0">
              <w:rPr>
                <w:rFonts w:hint="eastAsia"/>
                <w:szCs w:val="20"/>
              </w:rPr>
              <w:t>回毎食直前に経口投与する。</w:t>
            </w:r>
          </w:p>
          <w:p w14:paraId="1F9AE44E" w14:textId="77777777" w:rsidR="001775F5" w:rsidRPr="00324AF5" w:rsidRDefault="001775F5" w:rsidP="001775F5">
            <w:pPr>
              <w:rPr>
                <w:szCs w:val="20"/>
              </w:rPr>
            </w:pPr>
            <w:r w:rsidRPr="00A81620">
              <w:rPr>
                <w:rFonts w:hint="eastAsia"/>
                <w:szCs w:val="20"/>
              </w:rPr>
              <w:t>なお、効果不十分の場合には、経過を十分に観察しながら</w:t>
            </w:r>
            <w:r w:rsidRPr="00A81620">
              <w:rPr>
                <w:rFonts w:hint="eastAsia"/>
                <w:szCs w:val="20"/>
              </w:rPr>
              <w:t>1</w:t>
            </w:r>
            <w:r w:rsidRPr="00A81620">
              <w:rPr>
                <w:rFonts w:hint="eastAsia"/>
                <w:szCs w:val="20"/>
              </w:rPr>
              <w:t>回量を</w:t>
            </w:r>
            <w:r w:rsidRPr="00A81620">
              <w:rPr>
                <w:rFonts w:hint="eastAsia"/>
                <w:szCs w:val="20"/>
              </w:rPr>
              <w:t>0.3mg</w:t>
            </w:r>
            <w:r w:rsidRPr="00A81620">
              <w:rPr>
                <w:rFonts w:hint="eastAsia"/>
                <w:szCs w:val="20"/>
              </w:rPr>
              <w:t>まで増量することができる。</w:t>
            </w:r>
          </w:p>
        </w:tc>
      </w:tr>
      <w:tr w:rsidR="001775F5" w14:paraId="1B4CB4D7" w14:textId="77777777" w:rsidTr="0017634A">
        <w:trPr>
          <w:trHeight w:val="1984"/>
        </w:trPr>
        <w:tc>
          <w:tcPr>
            <w:tcW w:w="1764" w:type="dxa"/>
            <w:tcBorders>
              <w:bottom w:val="single" w:sz="4" w:space="0" w:color="auto"/>
            </w:tcBorders>
            <w:vAlign w:val="center"/>
          </w:tcPr>
          <w:p w14:paraId="5B17DC4C"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製品の性状</w:t>
            </w:r>
          </w:p>
        </w:tc>
        <w:tc>
          <w:tcPr>
            <w:tcW w:w="4185" w:type="dxa"/>
            <w:tcBorders>
              <w:bottom w:val="single" w:sz="4" w:space="0" w:color="auto"/>
            </w:tcBorders>
          </w:tcPr>
          <w:p w14:paraId="3D6B4792" w14:textId="77777777" w:rsidR="001775F5" w:rsidRPr="00324AF5" w:rsidRDefault="001775F5" w:rsidP="001775F5">
            <w:pPr>
              <w:rPr>
                <w:szCs w:val="20"/>
              </w:rPr>
            </w:pPr>
            <w:r w:rsidRPr="00324AF5">
              <w:rPr>
                <w:rFonts w:hint="eastAsia"/>
                <w:szCs w:val="20"/>
              </w:rPr>
              <w:t>白色の素錠</w:t>
            </w:r>
          </w:p>
          <w:tbl>
            <w:tblPr>
              <w:tblW w:w="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307"/>
              <w:gridCol w:w="564"/>
              <w:gridCol w:w="405"/>
              <w:gridCol w:w="466"/>
              <w:gridCol w:w="1469"/>
              <w:gridCol w:w="28"/>
            </w:tblGrid>
            <w:tr w:rsidR="001775F5" w:rsidRPr="004F2D49" w14:paraId="3716784F" w14:textId="77777777" w:rsidTr="00652192">
              <w:trPr>
                <w:gridAfter w:val="1"/>
                <w:wAfter w:w="28" w:type="dxa"/>
              </w:trPr>
              <w:tc>
                <w:tcPr>
                  <w:tcW w:w="870" w:type="dxa"/>
                  <w:shd w:val="clear" w:color="auto" w:fill="auto"/>
                  <w:tcMar>
                    <w:left w:w="0" w:type="dxa"/>
                    <w:right w:w="0" w:type="dxa"/>
                  </w:tcMar>
                  <w:vAlign w:val="center"/>
                </w:tcPr>
                <w:p w14:paraId="57A57E76"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表面</w:t>
                  </w:r>
                </w:p>
              </w:tc>
              <w:tc>
                <w:tcPr>
                  <w:tcW w:w="871" w:type="dxa"/>
                  <w:gridSpan w:val="2"/>
                  <w:shd w:val="clear" w:color="auto" w:fill="auto"/>
                  <w:tcMar>
                    <w:left w:w="0" w:type="dxa"/>
                    <w:right w:w="0" w:type="dxa"/>
                  </w:tcMar>
                  <w:vAlign w:val="center"/>
                </w:tcPr>
                <w:p w14:paraId="02F14738"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裏面</w:t>
                  </w:r>
                </w:p>
              </w:tc>
              <w:tc>
                <w:tcPr>
                  <w:tcW w:w="871" w:type="dxa"/>
                  <w:gridSpan w:val="2"/>
                  <w:shd w:val="clear" w:color="auto" w:fill="auto"/>
                  <w:tcMar>
                    <w:left w:w="0" w:type="dxa"/>
                    <w:right w:w="0" w:type="dxa"/>
                  </w:tcMar>
                  <w:vAlign w:val="center"/>
                </w:tcPr>
                <w:p w14:paraId="7D45D45B"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側面</w:t>
                  </w:r>
                </w:p>
              </w:tc>
              <w:tc>
                <w:tcPr>
                  <w:tcW w:w="1469" w:type="dxa"/>
                  <w:vMerge w:val="restart"/>
                  <w:tcBorders>
                    <w:top w:val="single" w:sz="4" w:space="0" w:color="FFFFFF"/>
                    <w:bottom w:val="single" w:sz="4" w:space="0" w:color="FFFFFF"/>
                    <w:right w:val="single" w:sz="4" w:space="0" w:color="FFFFFF"/>
                  </w:tcBorders>
                  <w:tcMar>
                    <w:left w:w="28" w:type="dxa"/>
                    <w:right w:w="0" w:type="dxa"/>
                  </w:tcMar>
                </w:tcPr>
                <w:p w14:paraId="7AF09CEB" w14:textId="77777777" w:rsidR="001775F5" w:rsidRDefault="001775F5" w:rsidP="001775F5">
                  <w:pPr>
                    <w:rPr>
                      <w:szCs w:val="20"/>
                    </w:rPr>
                  </w:pPr>
                  <w:r w:rsidRPr="00324AF5">
                    <w:rPr>
                      <w:rFonts w:hint="eastAsia"/>
                      <w:szCs w:val="20"/>
                    </w:rPr>
                    <w:t>直径：約</w:t>
                  </w:r>
                  <w:r w:rsidRPr="00324AF5">
                    <w:rPr>
                      <w:rFonts w:hint="eastAsia"/>
                      <w:szCs w:val="20"/>
                    </w:rPr>
                    <w:t>8mm</w:t>
                  </w:r>
                </w:p>
                <w:p w14:paraId="7BC0EFDC" w14:textId="77777777" w:rsidR="001775F5" w:rsidRDefault="001775F5" w:rsidP="001775F5">
                  <w:pPr>
                    <w:rPr>
                      <w:szCs w:val="20"/>
                    </w:rPr>
                  </w:pPr>
                  <w:r w:rsidRPr="00324AF5">
                    <w:rPr>
                      <w:rFonts w:hint="eastAsia"/>
                      <w:szCs w:val="20"/>
                    </w:rPr>
                    <w:t>厚さ：約</w:t>
                  </w:r>
                  <w:r w:rsidRPr="00324AF5">
                    <w:rPr>
                      <w:rFonts w:hint="eastAsia"/>
                      <w:szCs w:val="20"/>
                    </w:rPr>
                    <w:t>3.1mm</w:t>
                  </w:r>
                </w:p>
                <w:p w14:paraId="33BEBAF1" w14:textId="77777777" w:rsidR="001775F5" w:rsidRPr="004F2D49" w:rsidRDefault="001775F5" w:rsidP="001775F5">
                  <w:pPr>
                    <w:rPr>
                      <w:szCs w:val="20"/>
                    </w:rPr>
                  </w:pPr>
                  <w:r w:rsidRPr="00324AF5">
                    <w:rPr>
                      <w:rFonts w:hint="eastAsia"/>
                      <w:szCs w:val="20"/>
                    </w:rPr>
                    <w:t>重量：</w:t>
                  </w:r>
                  <w:r w:rsidRPr="00324AF5">
                    <w:rPr>
                      <w:rFonts w:hint="eastAsia"/>
                      <w:szCs w:val="20"/>
                    </w:rPr>
                    <w:t>210mg</w:t>
                  </w:r>
                </w:p>
              </w:tc>
            </w:tr>
            <w:tr w:rsidR="001775F5" w:rsidRPr="004F2D49" w14:paraId="234C49AE" w14:textId="77777777" w:rsidTr="00652192">
              <w:trPr>
                <w:gridAfter w:val="1"/>
                <w:wAfter w:w="28" w:type="dxa"/>
                <w:trHeight w:hRule="exact" w:val="907"/>
              </w:trPr>
              <w:tc>
                <w:tcPr>
                  <w:tcW w:w="870" w:type="dxa"/>
                  <w:shd w:val="clear" w:color="auto" w:fill="auto"/>
                  <w:tcMar>
                    <w:left w:w="0" w:type="dxa"/>
                    <w:right w:w="0" w:type="dxa"/>
                  </w:tcMar>
                  <w:vAlign w:val="center"/>
                </w:tcPr>
                <w:p w14:paraId="7412307C" w14:textId="5EF9F397" w:rsidR="001775F5" w:rsidRPr="004F2D49" w:rsidRDefault="001B04D4" w:rsidP="001775F5">
                  <w:pPr>
                    <w:ind w:rightChars="-3" w:right="-6"/>
                    <w:jc w:val="center"/>
                    <w:rPr>
                      <w:sz w:val="18"/>
                      <w:szCs w:val="18"/>
                    </w:rPr>
                  </w:pPr>
                  <w:r>
                    <w:rPr>
                      <w:noProof/>
                    </w:rPr>
                    <w:drawing>
                      <wp:inline distT="0" distB="0" distL="0" distR="0" wp14:anchorId="079BFE5F" wp14:editId="6A07FECE">
                        <wp:extent cx="533400" cy="5429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r="73125"/>
                                <a:stretch>
                                  <a:fillRect/>
                                </a:stretch>
                              </pic:blipFill>
                              <pic:spPr bwMode="auto">
                                <a:xfrm>
                                  <a:off x="0" y="0"/>
                                  <a:ext cx="533400" cy="542925"/>
                                </a:xfrm>
                                <a:prstGeom prst="rect">
                                  <a:avLst/>
                                </a:prstGeom>
                                <a:noFill/>
                                <a:ln>
                                  <a:noFill/>
                                </a:ln>
                              </pic:spPr>
                            </pic:pic>
                          </a:graphicData>
                        </a:graphic>
                      </wp:inline>
                    </w:drawing>
                  </w:r>
                </w:p>
              </w:tc>
              <w:tc>
                <w:tcPr>
                  <w:tcW w:w="871" w:type="dxa"/>
                  <w:gridSpan w:val="2"/>
                  <w:shd w:val="clear" w:color="auto" w:fill="auto"/>
                  <w:tcMar>
                    <w:left w:w="0" w:type="dxa"/>
                    <w:right w:w="0" w:type="dxa"/>
                  </w:tcMar>
                  <w:vAlign w:val="center"/>
                </w:tcPr>
                <w:p w14:paraId="78DAF151" w14:textId="2CD590B0" w:rsidR="001775F5" w:rsidRPr="004F2D49" w:rsidRDefault="001B04D4" w:rsidP="001775F5">
                  <w:pPr>
                    <w:jc w:val="center"/>
                    <w:rPr>
                      <w:sz w:val="18"/>
                      <w:szCs w:val="18"/>
                    </w:rPr>
                  </w:pPr>
                  <w:r>
                    <w:rPr>
                      <w:noProof/>
                    </w:rPr>
                    <w:drawing>
                      <wp:inline distT="0" distB="0" distL="0" distR="0" wp14:anchorId="067A3AA3" wp14:editId="23EA2E89">
                        <wp:extent cx="533400" cy="5429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cstate="print">
                                  <a:extLst>
                                    <a:ext uri="{28A0092B-C50C-407E-A947-70E740481C1C}">
                                      <a14:useLocalDpi xmlns:a14="http://schemas.microsoft.com/office/drawing/2010/main" val="0"/>
                                    </a:ext>
                                  </a:extLst>
                                </a:blip>
                                <a:srcRect l="36977" r="36127"/>
                                <a:stretch>
                                  <a:fillRect/>
                                </a:stretch>
                              </pic:blipFill>
                              <pic:spPr bwMode="auto">
                                <a:xfrm>
                                  <a:off x="0" y="0"/>
                                  <a:ext cx="533400" cy="542925"/>
                                </a:xfrm>
                                <a:prstGeom prst="rect">
                                  <a:avLst/>
                                </a:prstGeom>
                                <a:noFill/>
                                <a:ln>
                                  <a:noFill/>
                                </a:ln>
                              </pic:spPr>
                            </pic:pic>
                          </a:graphicData>
                        </a:graphic>
                      </wp:inline>
                    </w:drawing>
                  </w:r>
                </w:p>
              </w:tc>
              <w:tc>
                <w:tcPr>
                  <w:tcW w:w="871" w:type="dxa"/>
                  <w:gridSpan w:val="2"/>
                  <w:shd w:val="clear" w:color="auto" w:fill="auto"/>
                  <w:tcMar>
                    <w:left w:w="6" w:type="dxa"/>
                    <w:right w:w="6" w:type="dxa"/>
                  </w:tcMar>
                  <w:vAlign w:val="center"/>
                </w:tcPr>
                <w:p w14:paraId="02689C67" w14:textId="18A1A667" w:rsidR="001775F5" w:rsidRPr="004F2D49" w:rsidRDefault="001B04D4" w:rsidP="001775F5">
                  <w:pPr>
                    <w:ind w:rightChars="4" w:right="8"/>
                    <w:jc w:val="center"/>
                    <w:rPr>
                      <w:sz w:val="18"/>
                      <w:szCs w:val="18"/>
                    </w:rPr>
                  </w:pPr>
                  <w:r>
                    <w:rPr>
                      <w:noProof/>
                    </w:rPr>
                    <w:drawing>
                      <wp:inline distT="0" distB="0" distL="0" distR="0" wp14:anchorId="1A283491" wp14:editId="3602C91D">
                        <wp:extent cx="533400" cy="514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l="71391" r="420"/>
                                <a:stretch>
                                  <a:fillRect/>
                                </a:stretch>
                              </pic:blipFill>
                              <pic:spPr bwMode="auto">
                                <a:xfrm>
                                  <a:off x="0" y="0"/>
                                  <a:ext cx="533400" cy="514350"/>
                                </a:xfrm>
                                <a:prstGeom prst="rect">
                                  <a:avLst/>
                                </a:prstGeom>
                                <a:noFill/>
                                <a:ln>
                                  <a:noFill/>
                                </a:ln>
                              </pic:spPr>
                            </pic:pic>
                          </a:graphicData>
                        </a:graphic>
                      </wp:inline>
                    </w:drawing>
                  </w:r>
                </w:p>
              </w:tc>
              <w:tc>
                <w:tcPr>
                  <w:tcW w:w="1469" w:type="dxa"/>
                  <w:vMerge/>
                  <w:tcBorders>
                    <w:top w:val="nil"/>
                    <w:bottom w:val="single" w:sz="4" w:space="0" w:color="FFFFFF"/>
                    <w:right w:val="single" w:sz="4" w:space="0" w:color="FFFFFF"/>
                  </w:tcBorders>
                </w:tcPr>
                <w:p w14:paraId="0244C528" w14:textId="77777777" w:rsidR="001775F5" w:rsidRPr="004F2D49" w:rsidRDefault="001775F5" w:rsidP="001775F5">
                  <w:pPr>
                    <w:rPr>
                      <w:sz w:val="18"/>
                      <w:szCs w:val="18"/>
                    </w:rPr>
                  </w:pPr>
                </w:p>
              </w:tc>
            </w:tr>
            <w:tr w:rsidR="001775F5" w:rsidRPr="00FB10D6" w14:paraId="7759E68D" w14:textId="77777777" w:rsidTr="00652192">
              <w:trPr>
                <w:trHeight w:hRule="exact" w:val="340"/>
              </w:trPr>
              <w:tc>
                <w:tcPr>
                  <w:tcW w:w="117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0B360E3" w14:textId="77777777" w:rsidR="001775F5" w:rsidRPr="00FB10D6" w:rsidRDefault="001775F5" w:rsidP="001775F5">
                  <w:pPr>
                    <w:spacing w:beforeLines="25" w:before="73"/>
                    <w:ind w:left="-57" w:right="-57" w:firstLineChars="42" w:firstLine="80"/>
                    <w:rPr>
                      <w:noProof/>
                      <w:szCs w:val="20"/>
                    </w:rPr>
                  </w:pPr>
                  <w:r w:rsidRPr="00FB10D6">
                    <w:rPr>
                      <w:rFonts w:hint="eastAsia"/>
                      <w:noProof/>
                      <w:szCs w:val="20"/>
                    </w:rPr>
                    <w:t>識別コード：</w:t>
                  </w:r>
                </w:p>
              </w:tc>
              <w:tc>
                <w:tcPr>
                  <w:tcW w:w="96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C98BE01" w14:textId="77777777" w:rsidR="001775F5" w:rsidRPr="00FB10D6" w:rsidRDefault="001775F5" w:rsidP="001775F5">
                  <w:pPr>
                    <w:spacing w:beforeLines="25" w:before="73"/>
                    <w:rPr>
                      <w:szCs w:val="20"/>
                    </w:rPr>
                  </w:pPr>
                  <w:r>
                    <w:rPr>
                      <w:szCs w:val="20"/>
                    </w:rPr>
                    <w:t>YD</w:t>
                  </w:r>
                  <w:r>
                    <w:rPr>
                      <w:rFonts w:hint="eastAsia"/>
                      <w:szCs w:val="20"/>
                    </w:rPr>
                    <w:t xml:space="preserve">　</w:t>
                  </w:r>
                  <w:r>
                    <w:rPr>
                      <w:szCs w:val="20"/>
                    </w:rPr>
                    <w:t>526</w:t>
                  </w:r>
                </w:p>
              </w:tc>
              <w:tc>
                <w:tcPr>
                  <w:tcW w:w="1963" w:type="dxa"/>
                  <w:gridSpan w:val="3"/>
                  <w:tcBorders>
                    <w:top w:val="single" w:sz="4" w:space="0" w:color="FFFFFF"/>
                    <w:left w:val="single" w:sz="4" w:space="0" w:color="FFFFFF"/>
                    <w:bottom w:val="single" w:sz="4" w:space="0" w:color="FFFFFF"/>
                    <w:right w:val="single" w:sz="4" w:space="0" w:color="FFFFFF"/>
                  </w:tcBorders>
                  <w:shd w:val="clear" w:color="auto" w:fill="auto"/>
                </w:tcPr>
                <w:p w14:paraId="4ABE0886" w14:textId="77777777" w:rsidR="001775F5" w:rsidRPr="00FB10D6" w:rsidRDefault="001775F5" w:rsidP="001775F5">
                  <w:pPr>
                    <w:spacing w:beforeLines="25" w:before="73"/>
                    <w:ind w:leftChars="-52" w:hangingChars="52" w:hanging="99"/>
                    <w:jc w:val="both"/>
                    <w:rPr>
                      <w:szCs w:val="20"/>
                    </w:rPr>
                  </w:pPr>
                  <w:r>
                    <w:rPr>
                      <w:rFonts w:hint="eastAsia"/>
                      <w:szCs w:val="20"/>
                    </w:rPr>
                    <w:t>（錠剤表面）</w:t>
                  </w:r>
                </w:p>
              </w:tc>
            </w:tr>
            <w:tr w:rsidR="001775F5" w14:paraId="4B8FFD3F" w14:textId="77777777" w:rsidTr="00652192">
              <w:trPr>
                <w:trHeight w:hRule="exact" w:val="227"/>
              </w:trPr>
              <w:tc>
                <w:tcPr>
                  <w:tcW w:w="117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EEEA250" w14:textId="77777777" w:rsidR="001775F5" w:rsidRPr="00FB10D6" w:rsidRDefault="001775F5" w:rsidP="001775F5">
                  <w:pPr>
                    <w:ind w:left="-57" w:right="-57" w:firstLineChars="42" w:firstLine="80"/>
                    <w:rPr>
                      <w:noProof/>
                      <w:szCs w:val="20"/>
                    </w:rPr>
                  </w:pPr>
                </w:p>
              </w:tc>
              <w:tc>
                <w:tcPr>
                  <w:tcW w:w="96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3D5B0E7" w14:textId="77777777" w:rsidR="001775F5" w:rsidRDefault="001775F5" w:rsidP="001775F5">
                  <w:pPr>
                    <w:rPr>
                      <w:szCs w:val="20"/>
                    </w:rPr>
                  </w:pPr>
                  <w:r>
                    <w:rPr>
                      <w:szCs w:val="20"/>
                    </w:rPr>
                    <w:t>0.3</w:t>
                  </w:r>
                </w:p>
              </w:tc>
              <w:tc>
                <w:tcPr>
                  <w:tcW w:w="1963" w:type="dxa"/>
                  <w:gridSpan w:val="3"/>
                  <w:tcBorders>
                    <w:top w:val="single" w:sz="4" w:space="0" w:color="FFFFFF"/>
                    <w:left w:val="single" w:sz="4" w:space="0" w:color="FFFFFF"/>
                    <w:bottom w:val="single" w:sz="4" w:space="0" w:color="FFFFFF"/>
                    <w:right w:val="single" w:sz="4" w:space="0" w:color="FFFFFF"/>
                  </w:tcBorders>
                  <w:shd w:val="clear" w:color="auto" w:fill="auto"/>
                </w:tcPr>
                <w:p w14:paraId="27F05F97" w14:textId="77777777" w:rsidR="001775F5" w:rsidRDefault="001775F5" w:rsidP="001775F5">
                  <w:pPr>
                    <w:ind w:leftChars="-52" w:hangingChars="52" w:hanging="99"/>
                    <w:jc w:val="both"/>
                    <w:rPr>
                      <w:szCs w:val="20"/>
                    </w:rPr>
                  </w:pPr>
                  <w:r>
                    <w:rPr>
                      <w:rFonts w:hint="eastAsia"/>
                      <w:szCs w:val="20"/>
                    </w:rPr>
                    <w:t>（錠剤裏面）</w:t>
                  </w:r>
                </w:p>
              </w:tc>
            </w:tr>
          </w:tbl>
          <w:p w14:paraId="6DF3281C" w14:textId="77777777" w:rsidR="001775F5" w:rsidRPr="00324AF5" w:rsidRDefault="001775F5" w:rsidP="001775F5">
            <w:pPr>
              <w:tabs>
                <w:tab w:val="left" w:pos="1533"/>
              </w:tabs>
              <w:rPr>
                <w:szCs w:val="20"/>
              </w:rPr>
            </w:pPr>
          </w:p>
        </w:tc>
        <w:tc>
          <w:tcPr>
            <w:tcW w:w="4185" w:type="dxa"/>
            <w:tcBorders>
              <w:bottom w:val="single" w:sz="4" w:space="0" w:color="auto"/>
            </w:tcBorders>
          </w:tcPr>
          <w:p w14:paraId="2456AC4A" w14:textId="77777777" w:rsidR="001775F5" w:rsidRPr="00324AF5" w:rsidRDefault="001775F5" w:rsidP="001775F5">
            <w:pPr>
              <w:rPr>
                <w:szCs w:val="20"/>
              </w:rPr>
            </w:pPr>
            <w:r w:rsidRPr="00324AF5">
              <w:rPr>
                <w:rFonts w:hint="eastAsia"/>
                <w:szCs w:val="20"/>
              </w:rPr>
              <w:t>白色～帯黄白色の素錠</w:t>
            </w:r>
          </w:p>
          <w:p w14:paraId="2C1C5EF0" w14:textId="77777777" w:rsidR="001775F5" w:rsidRDefault="001775F5" w:rsidP="001775F5">
            <w:pPr>
              <w:rPr>
                <w:szCs w:val="20"/>
              </w:rPr>
            </w:pPr>
            <w:r w:rsidRPr="00324AF5">
              <w:rPr>
                <w:rFonts w:hint="eastAsia"/>
                <w:szCs w:val="20"/>
              </w:rPr>
              <w:t>直径：</w:t>
            </w:r>
            <w:r w:rsidRPr="00324AF5">
              <w:rPr>
                <w:rFonts w:hint="eastAsia"/>
                <w:szCs w:val="20"/>
              </w:rPr>
              <w:t>8.1mm</w:t>
            </w:r>
          </w:p>
          <w:p w14:paraId="5772DEAC" w14:textId="77777777" w:rsidR="001775F5" w:rsidRDefault="001775F5" w:rsidP="001775F5">
            <w:pPr>
              <w:rPr>
                <w:szCs w:val="20"/>
              </w:rPr>
            </w:pPr>
            <w:r w:rsidRPr="00324AF5">
              <w:rPr>
                <w:rFonts w:hint="eastAsia"/>
                <w:szCs w:val="20"/>
              </w:rPr>
              <w:t>厚さ：</w:t>
            </w:r>
            <w:r w:rsidRPr="00324AF5">
              <w:rPr>
                <w:rFonts w:hint="eastAsia"/>
                <w:szCs w:val="20"/>
              </w:rPr>
              <w:t>3.1mm</w:t>
            </w:r>
          </w:p>
          <w:p w14:paraId="6CD5633E" w14:textId="77777777" w:rsidR="001775F5" w:rsidRDefault="001775F5" w:rsidP="001775F5">
            <w:pPr>
              <w:rPr>
                <w:szCs w:val="20"/>
              </w:rPr>
            </w:pPr>
            <w:r w:rsidRPr="00324AF5">
              <w:rPr>
                <w:rFonts w:hint="eastAsia"/>
                <w:szCs w:val="20"/>
              </w:rPr>
              <w:t>重量：</w:t>
            </w:r>
            <w:r w:rsidRPr="00324AF5">
              <w:rPr>
                <w:rFonts w:hint="eastAsia"/>
                <w:szCs w:val="20"/>
              </w:rPr>
              <w:t>200mg</w:t>
            </w:r>
          </w:p>
          <w:p w14:paraId="514D3DE7" w14:textId="77777777" w:rsidR="001775F5" w:rsidRPr="00324AF5" w:rsidRDefault="001775F5" w:rsidP="001775F5">
            <w:pPr>
              <w:rPr>
                <w:szCs w:val="20"/>
              </w:rPr>
            </w:pPr>
          </w:p>
        </w:tc>
      </w:tr>
      <w:tr w:rsidR="001775F5" w14:paraId="50F3BDB6" w14:textId="77777777" w:rsidTr="00D910BB">
        <w:trPr>
          <w:trHeight w:val="3160"/>
        </w:trPr>
        <w:tc>
          <w:tcPr>
            <w:tcW w:w="1764" w:type="dxa"/>
            <w:vAlign w:val="center"/>
          </w:tcPr>
          <w:p w14:paraId="583311F8"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先発品との</w:t>
            </w:r>
          </w:p>
          <w:p w14:paraId="3A454B88" w14:textId="77777777" w:rsidR="001775F5" w:rsidRPr="00324AF5" w:rsidRDefault="001775F5" w:rsidP="001775F5">
            <w:pPr>
              <w:jc w:val="distribute"/>
              <w:rPr>
                <w:rFonts w:ascii="Arial" w:eastAsia="ＭＳ ゴシック" w:hAnsi="Arial"/>
                <w:sz w:val="22"/>
              </w:rPr>
            </w:pPr>
            <w:r w:rsidRPr="00324AF5">
              <w:rPr>
                <w:rFonts w:ascii="Arial" w:eastAsia="ＭＳ ゴシック" w:hAnsi="ＭＳ ゴシック" w:hint="eastAsia"/>
              </w:rPr>
              <w:t>同等性</w:t>
            </w:r>
          </w:p>
        </w:tc>
        <w:tc>
          <w:tcPr>
            <w:tcW w:w="4185" w:type="dxa"/>
          </w:tcPr>
          <w:p w14:paraId="0F6F8497" w14:textId="77777777" w:rsidR="001775F5" w:rsidRPr="00324AF5" w:rsidRDefault="001775F5" w:rsidP="001775F5">
            <w:pPr>
              <w:widowControl w:val="0"/>
              <w:autoSpaceDE w:val="0"/>
              <w:autoSpaceDN w:val="0"/>
              <w:adjustRightInd w:val="0"/>
              <w:spacing w:after="100"/>
              <w:rPr>
                <w:sz w:val="16"/>
              </w:rPr>
            </w:pPr>
            <w:r w:rsidRPr="00324AF5">
              <w:rPr>
                <w:rFonts w:ascii="Arial" w:eastAsia="ＭＳ ゴシック" w:hAnsi="ＭＳ ゴシック" w:hint="eastAsia"/>
              </w:rPr>
              <w:t>溶出試験（試験液：</w:t>
            </w:r>
            <w:r>
              <w:rPr>
                <w:rFonts w:ascii="Arial" w:eastAsia="ＭＳ ゴシック" w:hAnsi="Arial" w:cs="ＭＳゴシック" w:hint="eastAsia"/>
                <w:szCs w:val="20"/>
              </w:rPr>
              <w:t>pH1.2</w:t>
            </w:r>
            <w:r>
              <w:rPr>
                <w:rFonts w:ascii="Arial" w:eastAsia="ＭＳ ゴシック" w:hAnsi="ＭＳ ゴシック" w:hint="eastAsia"/>
              </w:rPr>
              <w:t xml:space="preserve">　</w:t>
            </w:r>
            <w:r>
              <w:rPr>
                <w:rFonts w:ascii="Arial" w:eastAsia="ＭＳ ゴシック" w:hAnsi="ＭＳ ゴシック"/>
              </w:rPr>
              <w:t>50rpm</w:t>
            </w:r>
            <w:r w:rsidRPr="00324AF5">
              <w:rPr>
                <w:rFonts w:ascii="Arial" w:eastAsia="ＭＳ ゴシック" w:hAnsi="ＭＳ ゴシック" w:hint="eastAsia"/>
              </w:rPr>
              <w:t>）</w:t>
            </w:r>
          </w:p>
          <w:p w14:paraId="443E42B6" w14:textId="5768091F" w:rsidR="001775F5" w:rsidRDefault="001B04D4" w:rsidP="001775F5">
            <w:pPr>
              <w:spacing w:after="80"/>
              <w:ind w:leftChars="-51" w:hangingChars="51" w:hanging="98"/>
              <w:jc w:val="center"/>
              <w:rPr>
                <w:noProof/>
              </w:rPr>
            </w:pPr>
            <w:r>
              <w:rPr>
                <w:noProof/>
              </w:rPr>
              <w:drawing>
                <wp:inline distT="0" distB="0" distL="0" distR="0" wp14:anchorId="13755EBE" wp14:editId="0B1FA0CA">
                  <wp:extent cx="2647950" cy="18002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23922041" w14:textId="77777777" w:rsidR="001775F5" w:rsidRPr="00CA409E" w:rsidRDefault="001775F5" w:rsidP="001775F5">
            <w:pPr>
              <w:spacing w:before="160"/>
              <w:rPr>
                <w:rFonts w:ascii="ＭＳ 明朝" w:hAnsi="ＭＳ ゴシック"/>
                <w:sz w:val="16"/>
              </w:rPr>
            </w:pPr>
            <w:r w:rsidRPr="00D3631F">
              <w:rPr>
                <w:rFonts w:hint="eastAsia"/>
                <w:sz w:val="16"/>
              </w:rPr>
              <w:t>「後発医薬品の生物学的同等性試験ガイドライン」に基づき</w:t>
            </w:r>
            <w:r>
              <w:rPr>
                <w:rFonts w:hint="eastAsia"/>
                <w:sz w:val="16"/>
              </w:rPr>
              <w:t>判定した結果</w:t>
            </w:r>
            <w:r w:rsidRPr="00D3631F">
              <w:rPr>
                <w:rFonts w:hint="eastAsia"/>
                <w:sz w:val="16"/>
              </w:rPr>
              <w:t>、両製剤の溶出挙動は同等であると判</w:t>
            </w:r>
            <w:r>
              <w:rPr>
                <w:rFonts w:hint="eastAsia"/>
                <w:sz w:val="16"/>
              </w:rPr>
              <w:t>定</w:t>
            </w:r>
            <w:r w:rsidRPr="00D3631F">
              <w:rPr>
                <w:rFonts w:hint="eastAsia"/>
                <w:sz w:val="16"/>
              </w:rPr>
              <w:t>された。</w:t>
            </w:r>
          </w:p>
        </w:tc>
        <w:tc>
          <w:tcPr>
            <w:tcW w:w="4185" w:type="dxa"/>
          </w:tcPr>
          <w:p w14:paraId="37EC12D0" w14:textId="77777777" w:rsidR="001775F5" w:rsidRPr="00324AF5" w:rsidRDefault="001775F5" w:rsidP="001775F5">
            <w:pPr>
              <w:spacing w:after="120"/>
            </w:pPr>
            <w:r w:rsidRPr="00324AF5">
              <w:rPr>
                <w:rFonts w:ascii="Arial" w:eastAsia="ＭＳ ゴシック" w:hAnsi="ＭＳ ゴシック" w:hint="eastAsia"/>
                <w:noProof/>
              </w:rPr>
              <w:t>血糖値比較試験（ヒト、空腹時）</w:t>
            </w:r>
          </w:p>
          <w:p w14:paraId="769A8E0D" w14:textId="08D1E7D3" w:rsidR="001775F5" w:rsidRDefault="001B04D4" w:rsidP="001775F5">
            <w:pPr>
              <w:spacing w:before="40"/>
              <w:ind w:leftChars="-51" w:hangingChars="51" w:hanging="98"/>
              <w:jc w:val="center"/>
              <w:rPr>
                <w:noProof/>
              </w:rPr>
            </w:pPr>
            <w:r>
              <w:rPr>
                <w:noProof/>
              </w:rPr>
              <w:drawing>
                <wp:inline distT="0" distB="0" distL="0" distR="0" wp14:anchorId="18C05E1E" wp14:editId="7981EF9A">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2248766B" w14:textId="77777777" w:rsidR="001775F5" w:rsidRPr="00CA409E" w:rsidRDefault="001775F5" w:rsidP="001775F5">
            <w:pPr>
              <w:spacing w:before="80"/>
              <w:jc w:val="both"/>
              <w:rPr>
                <w:rFonts w:ascii="ＭＳ ゴシック" w:eastAsia="ＭＳ ゴシック" w:hAnsi="ＭＳ ゴシック"/>
                <w:sz w:val="18"/>
                <w:szCs w:val="18"/>
              </w:rPr>
            </w:pPr>
            <w:r w:rsidRPr="00C2118E">
              <w:rPr>
                <w:rFonts w:hint="eastAsia"/>
                <w:sz w:val="16"/>
                <w:szCs w:val="16"/>
              </w:rPr>
              <w:t>両製剤とショ糖の同時投与時における血漿ブドウ糖値の測定により比較検討した結果、両製剤は</w:t>
            </w:r>
            <w:r>
              <w:rPr>
                <w:rFonts w:hint="eastAsia"/>
                <w:sz w:val="16"/>
                <w:szCs w:val="16"/>
              </w:rPr>
              <w:t>生物学的に</w:t>
            </w:r>
            <w:r w:rsidRPr="00C2118E">
              <w:rPr>
                <w:rFonts w:hint="eastAsia"/>
                <w:sz w:val="16"/>
                <w:szCs w:val="16"/>
              </w:rPr>
              <w:t>同等であると判</w:t>
            </w:r>
            <w:r>
              <w:rPr>
                <w:rFonts w:hint="eastAsia"/>
                <w:sz w:val="16"/>
                <w:szCs w:val="16"/>
              </w:rPr>
              <w:t>定</w:t>
            </w:r>
            <w:r w:rsidRPr="00C2118E">
              <w:rPr>
                <w:rFonts w:hint="eastAsia"/>
                <w:sz w:val="16"/>
                <w:szCs w:val="16"/>
              </w:rPr>
              <w:t>された。</w:t>
            </w:r>
          </w:p>
        </w:tc>
      </w:tr>
      <w:tr w:rsidR="001775F5" w14:paraId="082EE2D4" w14:textId="77777777" w:rsidTr="00D76ABB">
        <w:trPr>
          <w:trHeight w:hRule="exact" w:val="340"/>
        </w:trPr>
        <w:tc>
          <w:tcPr>
            <w:tcW w:w="1764" w:type="dxa"/>
            <w:tcBorders>
              <w:bottom w:val="single" w:sz="4" w:space="0" w:color="auto"/>
            </w:tcBorders>
            <w:vAlign w:val="center"/>
          </w:tcPr>
          <w:p w14:paraId="15FFDF33" w14:textId="77777777" w:rsidR="001775F5" w:rsidRPr="00324AF5" w:rsidRDefault="001775F5" w:rsidP="001775F5">
            <w:pPr>
              <w:ind w:leftChars="7" w:left="13" w:rightChars="39" w:right="75"/>
              <w:jc w:val="distribute"/>
              <w:rPr>
                <w:rFonts w:ascii="Arial" w:eastAsia="ＭＳ ゴシック" w:hAnsi="Arial"/>
              </w:rPr>
            </w:pPr>
            <w:r w:rsidRPr="00324AF5">
              <w:rPr>
                <w:rFonts w:ascii="Arial" w:eastAsia="ＭＳ ゴシック" w:hAnsi="ＭＳ ゴシック" w:hint="eastAsia"/>
              </w:rPr>
              <w:t>備考</w:t>
            </w:r>
          </w:p>
        </w:tc>
        <w:tc>
          <w:tcPr>
            <w:tcW w:w="8370" w:type="dxa"/>
            <w:gridSpan w:val="2"/>
            <w:tcBorders>
              <w:bottom w:val="single" w:sz="4" w:space="0" w:color="auto"/>
            </w:tcBorders>
            <w:vAlign w:val="center"/>
          </w:tcPr>
          <w:p w14:paraId="14226FFC" w14:textId="77777777" w:rsidR="001775F5" w:rsidRPr="00D3631F" w:rsidRDefault="001775F5" w:rsidP="001775F5"/>
        </w:tc>
      </w:tr>
      <w:tr w:rsidR="001775F5" w14:paraId="1B8990D6" w14:textId="77777777" w:rsidTr="00D76ABB">
        <w:trPr>
          <w:trHeight w:hRule="exact" w:val="340"/>
        </w:trPr>
        <w:tc>
          <w:tcPr>
            <w:tcW w:w="1764" w:type="dxa"/>
            <w:vAlign w:val="center"/>
          </w:tcPr>
          <w:p w14:paraId="09C08F0C" w14:textId="77777777" w:rsidR="001775F5" w:rsidRPr="00324AF5" w:rsidRDefault="001775F5" w:rsidP="001775F5">
            <w:pPr>
              <w:ind w:leftChars="7" w:left="13" w:rightChars="39" w:right="75"/>
              <w:jc w:val="distribute"/>
              <w:rPr>
                <w:rFonts w:ascii="Arial" w:eastAsia="ＭＳ ゴシック" w:hAnsi="Arial"/>
              </w:rPr>
            </w:pPr>
            <w:r w:rsidRPr="00324AF5">
              <w:rPr>
                <w:rFonts w:ascii="Arial" w:eastAsia="ＭＳ ゴシック" w:hAnsi="ＭＳ ゴシック" w:hint="eastAsia"/>
              </w:rPr>
              <w:t>担当者、連絡先</w:t>
            </w:r>
          </w:p>
        </w:tc>
        <w:tc>
          <w:tcPr>
            <w:tcW w:w="8370" w:type="dxa"/>
            <w:gridSpan w:val="2"/>
            <w:vAlign w:val="center"/>
          </w:tcPr>
          <w:p w14:paraId="3B3C8365" w14:textId="77777777" w:rsidR="001775F5" w:rsidRPr="00C2118E" w:rsidRDefault="001775F5" w:rsidP="001775F5">
            <w:pPr>
              <w:rPr>
                <w:rFonts w:ascii="ＭＳ ゴシック" w:eastAsia="ＭＳ ゴシック"/>
                <w:sz w:val="22"/>
              </w:rPr>
            </w:pPr>
          </w:p>
        </w:tc>
      </w:tr>
    </w:tbl>
    <w:p w14:paraId="07861EBD" w14:textId="05BF762C" w:rsidR="001F040C" w:rsidRPr="00D3631F" w:rsidRDefault="00996DAE" w:rsidP="001F040C">
      <w:pPr>
        <w:jc w:val="right"/>
      </w:pPr>
      <w:r>
        <w:rPr>
          <w:rFonts w:hint="eastAsia"/>
        </w:rPr>
        <w:t>20</w:t>
      </w:r>
      <w:r w:rsidR="001F040C">
        <w:t>2</w:t>
      </w:r>
      <w:r w:rsidR="001B04D4">
        <w:rPr>
          <w:rFonts w:hint="eastAsia"/>
        </w:rPr>
        <w:t>4</w:t>
      </w:r>
      <w:r w:rsidR="008E4A0D" w:rsidRPr="00324AF5">
        <w:rPr>
          <w:rFonts w:hint="eastAsia"/>
        </w:rPr>
        <w:t>年</w:t>
      </w:r>
      <w:r w:rsidR="005445C3">
        <w:t>4</w:t>
      </w:r>
      <w:r w:rsidR="008E4A0D" w:rsidRPr="00324AF5">
        <w:rPr>
          <w:rFonts w:hint="eastAsia"/>
        </w:rPr>
        <w:t>月</w:t>
      </w:r>
    </w:p>
    <w:sectPr w:rsidR="001F040C" w:rsidRPr="00D3631F" w:rsidSect="00FF34DE">
      <w:headerReference w:type="default" r:id="rId13"/>
      <w:pgSz w:w="11906" w:h="16838" w:code="9"/>
      <w:pgMar w:top="1135"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BB45" w14:textId="77777777" w:rsidR="0051092E" w:rsidRDefault="0051092E">
      <w:r>
        <w:separator/>
      </w:r>
    </w:p>
  </w:endnote>
  <w:endnote w:type="continuationSeparator" w:id="0">
    <w:p w14:paraId="40AAE252" w14:textId="77777777" w:rsidR="0051092E" w:rsidRDefault="0051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4F08" w14:textId="77777777" w:rsidR="0051092E" w:rsidRDefault="0051092E">
      <w:r>
        <w:separator/>
      </w:r>
    </w:p>
  </w:footnote>
  <w:footnote w:type="continuationSeparator" w:id="0">
    <w:p w14:paraId="74B36426" w14:textId="77777777" w:rsidR="0051092E" w:rsidRDefault="0051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1023"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33184144">
    <w:abstractNumId w:val="0"/>
  </w:num>
  <w:num w:numId="2" w16cid:durableId="518935534">
    <w:abstractNumId w:val="3"/>
  </w:num>
  <w:num w:numId="3" w16cid:durableId="1303998283">
    <w:abstractNumId w:val="2"/>
  </w:num>
  <w:num w:numId="4" w16cid:durableId="141435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6248"/>
    <w:rsid w:val="00015841"/>
    <w:rsid w:val="00016D81"/>
    <w:rsid w:val="00020621"/>
    <w:rsid w:val="0002544E"/>
    <w:rsid w:val="000264D3"/>
    <w:rsid w:val="00031AD8"/>
    <w:rsid w:val="0003549F"/>
    <w:rsid w:val="00037946"/>
    <w:rsid w:val="00057369"/>
    <w:rsid w:val="00080C23"/>
    <w:rsid w:val="000832E5"/>
    <w:rsid w:val="0008386E"/>
    <w:rsid w:val="00096E64"/>
    <w:rsid w:val="000C586A"/>
    <w:rsid w:val="001018C5"/>
    <w:rsid w:val="00110D1A"/>
    <w:rsid w:val="00130D5B"/>
    <w:rsid w:val="00167511"/>
    <w:rsid w:val="0017634A"/>
    <w:rsid w:val="001775F5"/>
    <w:rsid w:val="00183D7E"/>
    <w:rsid w:val="001929FE"/>
    <w:rsid w:val="00195E69"/>
    <w:rsid w:val="001B04D4"/>
    <w:rsid w:val="001D6D38"/>
    <w:rsid w:val="001E3358"/>
    <w:rsid w:val="001F040C"/>
    <w:rsid w:val="001F3D82"/>
    <w:rsid w:val="001F3F7D"/>
    <w:rsid w:val="0020262D"/>
    <w:rsid w:val="00216487"/>
    <w:rsid w:val="00224B0A"/>
    <w:rsid w:val="002355D9"/>
    <w:rsid w:val="00255FA8"/>
    <w:rsid w:val="00290DF3"/>
    <w:rsid w:val="00292433"/>
    <w:rsid w:val="002E07D9"/>
    <w:rsid w:val="003075C1"/>
    <w:rsid w:val="0032096E"/>
    <w:rsid w:val="00324AF5"/>
    <w:rsid w:val="00331CC1"/>
    <w:rsid w:val="0037046D"/>
    <w:rsid w:val="0037184F"/>
    <w:rsid w:val="00374471"/>
    <w:rsid w:val="00393027"/>
    <w:rsid w:val="00393348"/>
    <w:rsid w:val="003A1A60"/>
    <w:rsid w:val="003A1FC5"/>
    <w:rsid w:val="003A4F9D"/>
    <w:rsid w:val="003A6E04"/>
    <w:rsid w:val="003C663D"/>
    <w:rsid w:val="003D0885"/>
    <w:rsid w:val="003F0F4A"/>
    <w:rsid w:val="00400725"/>
    <w:rsid w:val="0040384A"/>
    <w:rsid w:val="0041717A"/>
    <w:rsid w:val="00420452"/>
    <w:rsid w:val="00430306"/>
    <w:rsid w:val="0043267F"/>
    <w:rsid w:val="004375DB"/>
    <w:rsid w:val="00457941"/>
    <w:rsid w:val="004646FC"/>
    <w:rsid w:val="0048694E"/>
    <w:rsid w:val="004931F4"/>
    <w:rsid w:val="004B7FCF"/>
    <w:rsid w:val="004D0790"/>
    <w:rsid w:val="004D6A9C"/>
    <w:rsid w:val="004F2D49"/>
    <w:rsid w:val="0051092E"/>
    <w:rsid w:val="00512D05"/>
    <w:rsid w:val="00532C69"/>
    <w:rsid w:val="005445C3"/>
    <w:rsid w:val="00555511"/>
    <w:rsid w:val="00581A82"/>
    <w:rsid w:val="005A61B4"/>
    <w:rsid w:val="005B1C19"/>
    <w:rsid w:val="005D3431"/>
    <w:rsid w:val="005D620D"/>
    <w:rsid w:val="005D7609"/>
    <w:rsid w:val="005E1916"/>
    <w:rsid w:val="00623377"/>
    <w:rsid w:val="0063093C"/>
    <w:rsid w:val="006457E5"/>
    <w:rsid w:val="00652192"/>
    <w:rsid w:val="00654341"/>
    <w:rsid w:val="0068091E"/>
    <w:rsid w:val="0068198C"/>
    <w:rsid w:val="006975A1"/>
    <w:rsid w:val="006E1DD6"/>
    <w:rsid w:val="00700001"/>
    <w:rsid w:val="0071080D"/>
    <w:rsid w:val="00713707"/>
    <w:rsid w:val="00714438"/>
    <w:rsid w:val="007201AF"/>
    <w:rsid w:val="00737136"/>
    <w:rsid w:val="00743E15"/>
    <w:rsid w:val="00785C7F"/>
    <w:rsid w:val="007912EA"/>
    <w:rsid w:val="007938FF"/>
    <w:rsid w:val="0079591E"/>
    <w:rsid w:val="007A2541"/>
    <w:rsid w:val="007C0A0A"/>
    <w:rsid w:val="007D182D"/>
    <w:rsid w:val="008037B6"/>
    <w:rsid w:val="00807E59"/>
    <w:rsid w:val="00811138"/>
    <w:rsid w:val="00824BF8"/>
    <w:rsid w:val="008305F5"/>
    <w:rsid w:val="00836C0D"/>
    <w:rsid w:val="008420E5"/>
    <w:rsid w:val="00856AD6"/>
    <w:rsid w:val="00857732"/>
    <w:rsid w:val="00860506"/>
    <w:rsid w:val="00866A4E"/>
    <w:rsid w:val="00893052"/>
    <w:rsid w:val="008C2ED2"/>
    <w:rsid w:val="008E05D5"/>
    <w:rsid w:val="008E0703"/>
    <w:rsid w:val="008E4A0D"/>
    <w:rsid w:val="00935FB9"/>
    <w:rsid w:val="00937719"/>
    <w:rsid w:val="0095009F"/>
    <w:rsid w:val="00951CF1"/>
    <w:rsid w:val="00951DDA"/>
    <w:rsid w:val="009672D3"/>
    <w:rsid w:val="00973CDA"/>
    <w:rsid w:val="00984003"/>
    <w:rsid w:val="00996DAE"/>
    <w:rsid w:val="009B363E"/>
    <w:rsid w:val="009C185E"/>
    <w:rsid w:val="009C2630"/>
    <w:rsid w:val="009D0626"/>
    <w:rsid w:val="009D1CA9"/>
    <w:rsid w:val="009D2473"/>
    <w:rsid w:val="009D6935"/>
    <w:rsid w:val="009F562B"/>
    <w:rsid w:val="00A06174"/>
    <w:rsid w:val="00A17D35"/>
    <w:rsid w:val="00A30269"/>
    <w:rsid w:val="00A44188"/>
    <w:rsid w:val="00A67C29"/>
    <w:rsid w:val="00A84C4D"/>
    <w:rsid w:val="00AB4A4B"/>
    <w:rsid w:val="00AF648E"/>
    <w:rsid w:val="00B016F8"/>
    <w:rsid w:val="00B0539D"/>
    <w:rsid w:val="00B463C1"/>
    <w:rsid w:val="00B60FE7"/>
    <w:rsid w:val="00B70F1C"/>
    <w:rsid w:val="00B752FF"/>
    <w:rsid w:val="00B82763"/>
    <w:rsid w:val="00B90575"/>
    <w:rsid w:val="00B9684D"/>
    <w:rsid w:val="00BA453A"/>
    <w:rsid w:val="00BC012E"/>
    <w:rsid w:val="00BC07F9"/>
    <w:rsid w:val="00BC2444"/>
    <w:rsid w:val="00BC5A3D"/>
    <w:rsid w:val="00BD15DE"/>
    <w:rsid w:val="00BE570C"/>
    <w:rsid w:val="00BF50BB"/>
    <w:rsid w:val="00C0050A"/>
    <w:rsid w:val="00C15FF2"/>
    <w:rsid w:val="00C2118E"/>
    <w:rsid w:val="00C35115"/>
    <w:rsid w:val="00C36F08"/>
    <w:rsid w:val="00C44F81"/>
    <w:rsid w:val="00C4572A"/>
    <w:rsid w:val="00C63A6D"/>
    <w:rsid w:val="00CA3BFE"/>
    <w:rsid w:val="00CA409E"/>
    <w:rsid w:val="00CA4239"/>
    <w:rsid w:val="00CB751B"/>
    <w:rsid w:val="00CB7F28"/>
    <w:rsid w:val="00CC5333"/>
    <w:rsid w:val="00CC5CBF"/>
    <w:rsid w:val="00D3397F"/>
    <w:rsid w:val="00D3631F"/>
    <w:rsid w:val="00D45B2D"/>
    <w:rsid w:val="00D761B1"/>
    <w:rsid w:val="00D7648B"/>
    <w:rsid w:val="00D76ABB"/>
    <w:rsid w:val="00D8557C"/>
    <w:rsid w:val="00D87620"/>
    <w:rsid w:val="00D910BB"/>
    <w:rsid w:val="00D96E98"/>
    <w:rsid w:val="00DA0680"/>
    <w:rsid w:val="00DC63E9"/>
    <w:rsid w:val="00DD0ED0"/>
    <w:rsid w:val="00DD227B"/>
    <w:rsid w:val="00E06CE8"/>
    <w:rsid w:val="00E0790F"/>
    <w:rsid w:val="00E12BAD"/>
    <w:rsid w:val="00E175EF"/>
    <w:rsid w:val="00E22F30"/>
    <w:rsid w:val="00E436DD"/>
    <w:rsid w:val="00E44DBD"/>
    <w:rsid w:val="00E6091D"/>
    <w:rsid w:val="00E9364E"/>
    <w:rsid w:val="00E948DB"/>
    <w:rsid w:val="00EA48F8"/>
    <w:rsid w:val="00EA5A3F"/>
    <w:rsid w:val="00ED164D"/>
    <w:rsid w:val="00ED432F"/>
    <w:rsid w:val="00ED4FBD"/>
    <w:rsid w:val="00ED6483"/>
    <w:rsid w:val="00ED6938"/>
    <w:rsid w:val="00EE6FC5"/>
    <w:rsid w:val="00F03C4D"/>
    <w:rsid w:val="00F27507"/>
    <w:rsid w:val="00F3192E"/>
    <w:rsid w:val="00F71D1B"/>
    <w:rsid w:val="00F75EB1"/>
    <w:rsid w:val="00F766E3"/>
    <w:rsid w:val="00F81049"/>
    <w:rsid w:val="00FA1BA6"/>
    <w:rsid w:val="00FD2D08"/>
    <w:rsid w:val="00FD6ADE"/>
    <w:rsid w:val="00FE6356"/>
    <w:rsid w:val="00FF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4316FD4"/>
  <w15:chartTrackingRefBased/>
  <w15:docId w15:val="{1F52F0BD-0CD5-4794-A494-4F283E26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AF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D76ABB"/>
  </w:style>
  <w:style w:type="paragraph" w:styleId="a7">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8">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link w:val="a5"/>
    <w:rsid w:val="00D76ABB"/>
    <w:rPr>
      <w:rFonts w:ascii="Century" w:hAnsi="Century"/>
      <w:szCs w:val="24"/>
    </w:rPr>
  </w:style>
  <w:style w:type="paragraph" w:styleId="a9">
    <w:name w:val="Balloon Text"/>
    <w:basedOn w:val="a"/>
    <w:semiHidden/>
    <w:rsid w:val="00AF6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2CD530-E57C-4AC8-8D15-FE9A5564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2014-04-02T02:16:00Z</cp:lastPrinted>
  <dcterms:created xsi:type="dcterms:W3CDTF">2024-03-14T03:02:00Z</dcterms:created>
  <dcterms:modified xsi:type="dcterms:W3CDTF">2024-03-14T03:02:00Z</dcterms:modified>
</cp:coreProperties>
</file>