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AF7DD" w14:textId="77777777" w:rsidR="00111A75" w:rsidRPr="008E10C5" w:rsidRDefault="008E4A0D" w:rsidP="00BC012E">
      <w:pPr>
        <w:tabs>
          <w:tab w:val="left" w:pos="1774"/>
          <w:tab w:val="left" w:pos="5521"/>
        </w:tabs>
        <w:spacing w:line="280" w:lineRule="exact"/>
        <w:jc w:val="center"/>
        <w:rPr>
          <w:rFonts w:ascii="Arial" w:eastAsia="ＭＳ ゴシック" w:hAnsi="Arial"/>
          <w:sz w:val="24"/>
        </w:rPr>
      </w:pPr>
      <w:r w:rsidRPr="008E10C5">
        <w:rPr>
          <w:rFonts w:ascii="Arial" w:eastAsia="ＭＳ ゴシック" w:hAnsi="ＭＳ ゴシック" w:hint="eastAsia"/>
          <w:sz w:val="24"/>
        </w:rPr>
        <w:t>製品別比較表（標準製剤との比較）</w:t>
      </w:r>
      <w:r w:rsidR="00B8056F">
        <w:rPr>
          <w:rFonts w:ascii="Arial" w:eastAsia="ＭＳ ゴシック" w:hAnsi="Arial" w:hint="eastAsia"/>
          <w:sz w:val="24"/>
        </w:rPr>
        <w:t>（</w:t>
      </w:r>
      <w:r w:rsidRPr="008E10C5">
        <w:rPr>
          <w:rFonts w:ascii="Arial" w:eastAsia="ＭＳ ゴシック" w:hAnsi="ＭＳ ゴシック" w:hint="eastAsia"/>
          <w:sz w:val="24"/>
        </w:rPr>
        <w:t>案</w:t>
      </w:r>
      <w:r w:rsidR="00B8056F">
        <w:rPr>
          <w:rFonts w:ascii="Arial" w:eastAsia="ＭＳ ゴシック" w:hAnsi="Arial"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4"/>
        <w:gridCol w:w="4185"/>
        <w:gridCol w:w="4185"/>
      </w:tblGrid>
      <w:tr w:rsidR="008E4A0D" w14:paraId="7FAAFD9E" w14:textId="77777777" w:rsidTr="002030BF">
        <w:trPr>
          <w:trHeight w:hRule="exact" w:val="283"/>
        </w:trPr>
        <w:tc>
          <w:tcPr>
            <w:tcW w:w="1764" w:type="dxa"/>
          </w:tcPr>
          <w:p w14:paraId="6723A82F" w14:textId="77777777" w:rsidR="008E4A0D" w:rsidRDefault="008E4A0D" w:rsidP="00B635E5">
            <w:pPr>
              <w:rPr>
                <w:rFonts w:ascii="ＭＳ ゴシック" w:eastAsia="ＭＳ ゴシック" w:hAnsi="ＭＳ ゴシック"/>
              </w:rPr>
            </w:pPr>
          </w:p>
        </w:tc>
        <w:tc>
          <w:tcPr>
            <w:tcW w:w="4185" w:type="dxa"/>
            <w:vAlign w:val="center"/>
          </w:tcPr>
          <w:p w14:paraId="5DF7F72D" w14:textId="77777777" w:rsidR="008E4A0D" w:rsidRPr="008E10C5" w:rsidRDefault="008E4A0D" w:rsidP="00DA0680">
            <w:pPr>
              <w:jc w:val="center"/>
              <w:rPr>
                <w:rFonts w:ascii="Arial" w:eastAsia="ＭＳ ゴシック" w:hAnsi="Arial"/>
              </w:rPr>
            </w:pPr>
            <w:r w:rsidRPr="008E10C5">
              <w:rPr>
                <w:rFonts w:ascii="Arial" w:eastAsia="ＭＳ ゴシック" w:hAnsi="ＭＳ ゴシック" w:hint="eastAsia"/>
              </w:rPr>
              <w:t>後　　発　　品</w:t>
            </w:r>
          </w:p>
        </w:tc>
        <w:tc>
          <w:tcPr>
            <w:tcW w:w="4185" w:type="dxa"/>
            <w:vAlign w:val="center"/>
          </w:tcPr>
          <w:p w14:paraId="0CD26CF7" w14:textId="77777777" w:rsidR="008E4A0D" w:rsidRPr="008E10C5" w:rsidRDefault="008E4A0D" w:rsidP="00DA0680">
            <w:pPr>
              <w:jc w:val="center"/>
              <w:rPr>
                <w:rFonts w:ascii="Arial" w:eastAsia="ＭＳ ゴシック" w:hAnsi="Arial"/>
              </w:rPr>
            </w:pPr>
            <w:r w:rsidRPr="008E10C5">
              <w:rPr>
                <w:rFonts w:ascii="Arial" w:eastAsia="ＭＳ ゴシック" w:hAnsi="ＭＳ ゴシック" w:hint="eastAsia"/>
              </w:rPr>
              <w:t>先　　発　　品</w:t>
            </w:r>
          </w:p>
        </w:tc>
      </w:tr>
      <w:tr w:rsidR="00B016F8" w14:paraId="237A8A27" w14:textId="77777777" w:rsidTr="002030BF">
        <w:trPr>
          <w:trHeight w:hRule="exact" w:val="283"/>
        </w:trPr>
        <w:tc>
          <w:tcPr>
            <w:tcW w:w="1764" w:type="dxa"/>
            <w:vAlign w:val="center"/>
          </w:tcPr>
          <w:p w14:paraId="5DD097F3" w14:textId="77777777" w:rsidR="00B016F8" w:rsidRPr="008E10C5" w:rsidRDefault="00B016F8" w:rsidP="00B635E5">
            <w:pPr>
              <w:jc w:val="distribute"/>
              <w:rPr>
                <w:rFonts w:ascii="Arial" w:eastAsia="ＭＳ ゴシック" w:hAnsi="Arial"/>
              </w:rPr>
            </w:pPr>
            <w:r w:rsidRPr="008E10C5">
              <w:rPr>
                <w:rFonts w:ascii="Arial" w:eastAsia="ＭＳ ゴシック" w:hAnsi="ＭＳ ゴシック" w:hint="eastAsia"/>
              </w:rPr>
              <w:t>会　　社　　名</w:t>
            </w:r>
          </w:p>
        </w:tc>
        <w:tc>
          <w:tcPr>
            <w:tcW w:w="4185" w:type="dxa"/>
            <w:vAlign w:val="center"/>
          </w:tcPr>
          <w:p w14:paraId="2662215E" w14:textId="77777777" w:rsidR="00B016F8" w:rsidRPr="008E10C5" w:rsidRDefault="00B016F8">
            <w:pPr>
              <w:jc w:val="center"/>
              <w:rPr>
                <w:szCs w:val="20"/>
              </w:rPr>
            </w:pPr>
            <w:r w:rsidRPr="008E10C5">
              <w:rPr>
                <w:rFonts w:hint="eastAsia"/>
                <w:szCs w:val="20"/>
              </w:rPr>
              <w:t>第一三共エスファ株式会社</w:t>
            </w:r>
          </w:p>
        </w:tc>
        <w:tc>
          <w:tcPr>
            <w:tcW w:w="4185" w:type="dxa"/>
            <w:vAlign w:val="center"/>
          </w:tcPr>
          <w:p w14:paraId="1DA6CFB1" w14:textId="77777777" w:rsidR="00B016F8" w:rsidRPr="008E10C5" w:rsidRDefault="00B016F8" w:rsidP="00D87620">
            <w:pPr>
              <w:jc w:val="center"/>
              <w:rPr>
                <w:szCs w:val="20"/>
              </w:rPr>
            </w:pPr>
          </w:p>
        </w:tc>
      </w:tr>
      <w:tr w:rsidR="00B016F8" w14:paraId="23B4F6D0" w14:textId="77777777" w:rsidTr="002030BF">
        <w:trPr>
          <w:trHeight w:hRule="exact" w:val="283"/>
        </w:trPr>
        <w:tc>
          <w:tcPr>
            <w:tcW w:w="1764" w:type="dxa"/>
            <w:vAlign w:val="center"/>
          </w:tcPr>
          <w:p w14:paraId="2F12AD45" w14:textId="77777777" w:rsidR="00B016F8" w:rsidRPr="008E10C5" w:rsidRDefault="00C30210" w:rsidP="00B635E5">
            <w:pPr>
              <w:jc w:val="distribute"/>
              <w:rPr>
                <w:rFonts w:ascii="Arial" w:eastAsia="ＭＳ ゴシック" w:hAnsi="Arial"/>
              </w:rPr>
            </w:pPr>
            <w:r>
              <w:rPr>
                <w:rFonts w:ascii="Arial" w:eastAsia="ＭＳ ゴシック" w:hAnsi="ＭＳ ゴシック" w:hint="eastAsia"/>
              </w:rPr>
              <w:t>製</w:t>
            </w:r>
            <w:r w:rsidR="00B016F8" w:rsidRPr="008E10C5">
              <w:rPr>
                <w:rFonts w:ascii="Arial" w:eastAsia="ＭＳ ゴシック" w:hAnsi="ＭＳ ゴシック" w:hint="eastAsia"/>
              </w:rPr>
              <w:t xml:space="preserve">　　品　　名</w:t>
            </w:r>
          </w:p>
        </w:tc>
        <w:tc>
          <w:tcPr>
            <w:tcW w:w="4185" w:type="dxa"/>
            <w:vAlign w:val="center"/>
          </w:tcPr>
          <w:p w14:paraId="7A8E0542" w14:textId="77777777" w:rsidR="00B016F8" w:rsidRPr="008E10C5" w:rsidRDefault="00B04B69" w:rsidP="00057369">
            <w:pPr>
              <w:ind w:firstLine="36"/>
              <w:jc w:val="center"/>
              <w:rPr>
                <w:rFonts w:ascii="Arial" w:eastAsia="ＭＳ ゴシック" w:hAnsi="Arial"/>
                <w:vertAlign w:val="subscript"/>
              </w:rPr>
            </w:pPr>
            <w:r w:rsidRPr="008E10C5">
              <w:rPr>
                <w:rFonts w:ascii="Arial" w:eastAsia="ＭＳ ゴシック" w:hAnsi="ＭＳ ゴシック" w:hint="eastAsia"/>
              </w:rPr>
              <w:t>テルビナフィン</w:t>
            </w:r>
            <w:r w:rsidR="00D76ABD" w:rsidRPr="008E10C5">
              <w:rPr>
                <w:rFonts w:ascii="Arial" w:eastAsia="ＭＳ ゴシック" w:hAnsi="ＭＳ ゴシック" w:hint="eastAsia"/>
              </w:rPr>
              <w:t>錠</w:t>
            </w:r>
            <w:r w:rsidR="00D76ABD" w:rsidRPr="008E10C5">
              <w:rPr>
                <w:rFonts w:ascii="Arial" w:eastAsia="ＭＳ ゴシック" w:hAnsi="Arial" w:hint="eastAsia"/>
              </w:rPr>
              <w:t>1</w:t>
            </w:r>
            <w:r w:rsidRPr="008E10C5">
              <w:rPr>
                <w:rFonts w:ascii="Arial" w:eastAsia="ＭＳ ゴシック" w:hAnsi="Arial" w:hint="eastAsia"/>
              </w:rPr>
              <w:t>25</w:t>
            </w:r>
            <w:r w:rsidR="00D76ABD" w:rsidRPr="008E10C5">
              <w:rPr>
                <w:rFonts w:ascii="Arial" w:eastAsia="ＭＳ ゴシック" w:hAnsi="Arial" w:hint="eastAsia"/>
              </w:rPr>
              <w:t>mg</w:t>
            </w:r>
            <w:r w:rsidR="00D76ABD" w:rsidRPr="008E10C5">
              <w:rPr>
                <w:rFonts w:ascii="Arial" w:eastAsia="ＭＳ ゴシック" w:hAnsi="ＭＳ ゴシック" w:hint="eastAsia"/>
              </w:rPr>
              <w:t>「</w:t>
            </w:r>
            <w:r w:rsidR="00D4450A">
              <w:rPr>
                <w:rFonts w:ascii="Arial" w:eastAsia="ＭＳ ゴシック" w:hAnsi="Arial" w:hint="eastAsia"/>
              </w:rPr>
              <w:t>サンド</w:t>
            </w:r>
            <w:r w:rsidR="00D76ABD" w:rsidRPr="008E10C5">
              <w:rPr>
                <w:rFonts w:ascii="Arial" w:eastAsia="ＭＳ ゴシック" w:hAnsi="ＭＳ ゴシック" w:hint="eastAsia"/>
              </w:rPr>
              <w:t>」</w:t>
            </w:r>
          </w:p>
        </w:tc>
        <w:tc>
          <w:tcPr>
            <w:tcW w:w="4185" w:type="dxa"/>
            <w:vAlign w:val="center"/>
          </w:tcPr>
          <w:p w14:paraId="356CA2F9" w14:textId="63709EFF" w:rsidR="00B016F8" w:rsidRPr="00DE446F" w:rsidRDefault="00DE446F" w:rsidP="00CC5333">
            <w:pPr>
              <w:jc w:val="center"/>
              <w:rPr>
                <w:rFonts w:ascii="Arial" w:eastAsia="ＭＳ ゴシック" w:hAnsi="Arial" w:cs="Arial"/>
              </w:rPr>
            </w:pPr>
            <w:r w:rsidRPr="00DE446F">
              <w:rPr>
                <w:rFonts w:ascii="Arial" w:eastAsia="ＭＳ ゴシック" w:hAnsi="Arial" w:cs="Arial" w:hint="eastAsia"/>
              </w:rPr>
              <w:t>ラミシ－ル錠</w:t>
            </w:r>
            <w:r w:rsidRPr="00DE446F">
              <w:rPr>
                <w:rFonts w:ascii="Arial" w:eastAsia="ＭＳ ゴシック" w:hAnsi="Arial" w:cs="Arial" w:hint="eastAsia"/>
              </w:rPr>
              <w:t>125mg</w:t>
            </w:r>
          </w:p>
        </w:tc>
      </w:tr>
      <w:tr w:rsidR="00B016F8" w14:paraId="4242D632" w14:textId="77777777" w:rsidTr="002030BF">
        <w:trPr>
          <w:trHeight w:hRule="exact" w:val="283"/>
        </w:trPr>
        <w:tc>
          <w:tcPr>
            <w:tcW w:w="1764" w:type="dxa"/>
            <w:vAlign w:val="center"/>
          </w:tcPr>
          <w:p w14:paraId="706D408F" w14:textId="77777777" w:rsidR="00B016F8" w:rsidRPr="008E10C5" w:rsidRDefault="00B016F8" w:rsidP="00B635E5">
            <w:pPr>
              <w:jc w:val="distribute"/>
              <w:rPr>
                <w:rFonts w:ascii="Arial" w:eastAsia="ＭＳ ゴシック" w:hAnsi="Arial"/>
              </w:rPr>
            </w:pPr>
            <w:r w:rsidRPr="008E10C5">
              <w:rPr>
                <w:rFonts w:ascii="Arial" w:eastAsia="ＭＳ ゴシック" w:hAnsi="ＭＳ ゴシック" w:hint="eastAsia"/>
              </w:rPr>
              <w:t>薬　　　　　価</w:t>
            </w:r>
          </w:p>
        </w:tc>
        <w:tc>
          <w:tcPr>
            <w:tcW w:w="4185" w:type="dxa"/>
            <w:vAlign w:val="center"/>
          </w:tcPr>
          <w:p w14:paraId="2A52943A" w14:textId="3C279667" w:rsidR="00B016F8" w:rsidRPr="002A1328" w:rsidRDefault="00DE446F" w:rsidP="00E8785B">
            <w:pPr>
              <w:jc w:val="center"/>
              <w:rPr>
                <w:szCs w:val="20"/>
              </w:rPr>
            </w:pPr>
            <w:r>
              <w:rPr>
                <w:rFonts w:hAnsi="ＭＳ 明朝" w:hint="eastAsia"/>
                <w:szCs w:val="20"/>
              </w:rPr>
              <w:t>3</w:t>
            </w:r>
            <w:r>
              <w:rPr>
                <w:rFonts w:hAnsi="ＭＳ 明朝"/>
                <w:szCs w:val="20"/>
              </w:rPr>
              <w:t>3.60</w:t>
            </w:r>
            <w:r w:rsidR="00B016F8" w:rsidRPr="002A1328">
              <w:rPr>
                <w:rFonts w:hAnsi="ＭＳ 明朝" w:hint="eastAsia"/>
                <w:szCs w:val="20"/>
              </w:rPr>
              <w:t>円</w:t>
            </w:r>
          </w:p>
        </w:tc>
        <w:tc>
          <w:tcPr>
            <w:tcW w:w="4185" w:type="dxa"/>
            <w:vAlign w:val="center"/>
          </w:tcPr>
          <w:p w14:paraId="3D0D4CA9" w14:textId="0966D881" w:rsidR="00B016F8" w:rsidRPr="002A1328" w:rsidRDefault="00DE446F" w:rsidP="003971E7">
            <w:pPr>
              <w:jc w:val="center"/>
              <w:rPr>
                <w:szCs w:val="20"/>
              </w:rPr>
            </w:pPr>
            <w:r>
              <w:rPr>
                <w:rFonts w:hAnsi="ＭＳ 明朝"/>
                <w:szCs w:val="20"/>
              </w:rPr>
              <w:t>60.30</w:t>
            </w:r>
            <w:r w:rsidR="00B016F8" w:rsidRPr="002A1328">
              <w:rPr>
                <w:rFonts w:hAnsi="ＭＳ 明朝" w:hint="eastAsia"/>
                <w:szCs w:val="20"/>
              </w:rPr>
              <w:t>円</w:t>
            </w:r>
          </w:p>
        </w:tc>
      </w:tr>
      <w:tr w:rsidR="00B04B69" w14:paraId="73333111" w14:textId="77777777" w:rsidTr="002030BF">
        <w:trPr>
          <w:trHeight w:hRule="exact" w:val="283"/>
        </w:trPr>
        <w:tc>
          <w:tcPr>
            <w:tcW w:w="1764" w:type="dxa"/>
            <w:vAlign w:val="center"/>
          </w:tcPr>
          <w:p w14:paraId="78034784" w14:textId="77777777" w:rsidR="00B04B69" w:rsidRPr="008E10C5" w:rsidRDefault="00B04B69" w:rsidP="00B635E5">
            <w:pPr>
              <w:jc w:val="distribute"/>
              <w:rPr>
                <w:rFonts w:ascii="Arial" w:eastAsia="ＭＳ ゴシック" w:hAnsi="Arial"/>
              </w:rPr>
            </w:pPr>
            <w:r w:rsidRPr="008E10C5">
              <w:rPr>
                <w:rFonts w:ascii="Arial" w:eastAsia="ＭＳ ゴシック" w:hAnsi="ＭＳ ゴシック" w:hint="eastAsia"/>
              </w:rPr>
              <w:t>規　　　　　格</w:t>
            </w:r>
          </w:p>
        </w:tc>
        <w:tc>
          <w:tcPr>
            <w:tcW w:w="8370" w:type="dxa"/>
            <w:gridSpan w:val="2"/>
            <w:vAlign w:val="center"/>
          </w:tcPr>
          <w:p w14:paraId="30DB96C1" w14:textId="77777777" w:rsidR="00B04B69" w:rsidRPr="00876E96" w:rsidRDefault="00C56D97" w:rsidP="002030BF">
            <w:r>
              <w:rPr>
                <w:rFonts w:hint="eastAsia"/>
              </w:rPr>
              <w:t>1</w:t>
            </w:r>
            <w:r w:rsidR="00B04B69" w:rsidRPr="008E10C5">
              <w:rPr>
                <w:rFonts w:hint="eastAsia"/>
              </w:rPr>
              <w:t>錠中に</w:t>
            </w:r>
            <w:r w:rsidR="00B04B69" w:rsidRPr="008E10C5">
              <w:rPr>
                <w:rFonts w:ascii="Arial" w:eastAsia="ＭＳ ゴシック" w:hint="eastAsia"/>
              </w:rPr>
              <w:t>テルビナフィン塩酸塩</w:t>
            </w:r>
            <w:r w:rsidR="00894E33">
              <w:rPr>
                <w:rFonts w:ascii="Arial" w:eastAsia="ＭＳ ゴシック" w:hint="eastAsia"/>
              </w:rPr>
              <w:t>（日局）</w:t>
            </w:r>
            <w:r w:rsidR="00B04B69" w:rsidRPr="008E10C5">
              <w:rPr>
                <w:rFonts w:hint="eastAsia"/>
              </w:rPr>
              <w:t>140.625mg</w:t>
            </w:r>
            <w:r w:rsidR="00B04B69" w:rsidRPr="008E10C5">
              <w:rPr>
                <w:rFonts w:hint="eastAsia"/>
              </w:rPr>
              <w:t>（</w:t>
            </w:r>
            <w:r w:rsidR="00B04B69" w:rsidRPr="002030BF">
              <w:rPr>
                <w:rFonts w:ascii="ＭＳ ゴシック" w:eastAsia="ＭＳ ゴシック" w:hAnsi="ＭＳ ゴシック" w:hint="eastAsia"/>
              </w:rPr>
              <w:t>テルビナフィン</w:t>
            </w:r>
            <w:r w:rsidR="00B04B69" w:rsidRPr="008E10C5">
              <w:rPr>
                <w:rFonts w:hint="eastAsia"/>
              </w:rPr>
              <w:t>として</w:t>
            </w:r>
            <w:r w:rsidR="00B04B69" w:rsidRPr="008E10C5">
              <w:rPr>
                <w:rFonts w:hint="eastAsia"/>
              </w:rPr>
              <w:t>125mg</w:t>
            </w:r>
            <w:r w:rsidR="00B04B69" w:rsidRPr="008E10C5">
              <w:rPr>
                <w:rFonts w:hint="eastAsia"/>
              </w:rPr>
              <w:t>）を含有</w:t>
            </w:r>
          </w:p>
        </w:tc>
      </w:tr>
      <w:tr w:rsidR="005D7609" w14:paraId="3182370B" w14:textId="77777777" w:rsidTr="00DF0188">
        <w:tc>
          <w:tcPr>
            <w:tcW w:w="1764" w:type="dxa"/>
            <w:vAlign w:val="center"/>
          </w:tcPr>
          <w:p w14:paraId="14F40E9E" w14:textId="77777777" w:rsidR="005D7609" w:rsidRPr="008E10C5" w:rsidRDefault="005D7609" w:rsidP="00B635E5">
            <w:pPr>
              <w:jc w:val="distribute"/>
              <w:rPr>
                <w:rFonts w:ascii="Arial" w:eastAsia="ＭＳ ゴシック" w:hAnsi="Arial"/>
              </w:rPr>
            </w:pPr>
            <w:r w:rsidRPr="008E10C5">
              <w:rPr>
                <w:rFonts w:ascii="Arial" w:eastAsia="ＭＳ ゴシック" w:hAnsi="ＭＳ ゴシック" w:hint="eastAsia"/>
              </w:rPr>
              <w:t>添加物</w:t>
            </w:r>
          </w:p>
        </w:tc>
        <w:tc>
          <w:tcPr>
            <w:tcW w:w="4185" w:type="dxa"/>
            <w:tcBorders>
              <w:right w:val="single" w:sz="4" w:space="0" w:color="auto"/>
            </w:tcBorders>
            <w:tcMar>
              <w:top w:w="28" w:type="dxa"/>
              <w:bottom w:w="28" w:type="dxa"/>
            </w:tcMar>
          </w:tcPr>
          <w:p w14:paraId="71E18C9A" w14:textId="77777777" w:rsidR="005D7609" w:rsidRPr="008E10C5" w:rsidRDefault="00D4450A" w:rsidP="002030BF">
            <w:pPr>
              <w:rPr>
                <w:szCs w:val="20"/>
              </w:rPr>
            </w:pPr>
            <w:r>
              <w:rPr>
                <w:rFonts w:hint="eastAsia"/>
                <w:szCs w:val="20"/>
              </w:rPr>
              <w:t>バレイショデンプン</w:t>
            </w:r>
            <w:r w:rsidR="00B04B69" w:rsidRPr="008E10C5">
              <w:rPr>
                <w:rFonts w:hint="eastAsia"/>
                <w:szCs w:val="20"/>
              </w:rPr>
              <w:t>、デンプングリコール酸ナトリウム</w:t>
            </w:r>
            <w:r>
              <w:rPr>
                <w:rFonts w:hint="eastAsia"/>
                <w:szCs w:val="20"/>
              </w:rPr>
              <w:t>、</w:t>
            </w:r>
            <w:r w:rsidRPr="008E10C5">
              <w:rPr>
                <w:rFonts w:hint="eastAsia"/>
                <w:szCs w:val="20"/>
              </w:rPr>
              <w:t>ヒプロメロース</w:t>
            </w:r>
            <w:r w:rsidR="00B04B69" w:rsidRPr="008E10C5">
              <w:rPr>
                <w:rFonts w:hint="eastAsia"/>
                <w:szCs w:val="20"/>
              </w:rPr>
              <w:t>、</w:t>
            </w:r>
            <w:r>
              <w:rPr>
                <w:rFonts w:hint="eastAsia"/>
                <w:szCs w:val="20"/>
              </w:rPr>
              <w:t>軽質無水ケイ酸、</w:t>
            </w:r>
            <w:r w:rsidR="00B04B69" w:rsidRPr="008E10C5">
              <w:rPr>
                <w:rFonts w:hint="eastAsia"/>
                <w:szCs w:val="20"/>
              </w:rPr>
              <w:t>ステアリン酸</w:t>
            </w:r>
            <w:r>
              <w:rPr>
                <w:rFonts w:hint="eastAsia"/>
                <w:szCs w:val="20"/>
              </w:rPr>
              <w:t>マグネシウム</w:t>
            </w:r>
          </w:p>
        </w:tc>
        <w:tc>
          <w:tcPr>
            <w:tcW w:w="4185" w:type="dxa"/>
            <w:tcBorders>
              <w:left w:val="single" w:sz="4" w:space="0" w:color="auto"/>
            </w:tcBorders>
            <w:tcMar>
              <w:top w:w="28" w:type="dxa"/>
              <w:bottom w:w="28" w:type="dxa"/>
            </w:tcMar>
          </w:tcPr>
          <w:p w14:paraId="74DBDB8A" w14:textId="77777777" w:rsidR="005D7609" w:rsidRPr="008E10C5" w:rsidRDefault="00B04B69" w:rsidP="002030BF">
            <w:pPr>
              <w:rPr>
                <w:szCs w:val="20"/>
              </w:rPr>
            </w:pPr>
            <w:r w:rsidRPr="008E10C5">
              <w:rPr>
                <w:rFonts w:hint="eastAsia"/>
                <w:szCs w:val="20"/>
              </w:rPr>
              <w:t>セルロース、乳糖、</w:t>
            </w:r>
            <w:r w:rsidR="00CE7916">
              <w:rPr>
                <w:rFonts w:hint="eastAsia"/>
                <w:szCs w:val="20"/>
              </w:rPr>
              <w:t>デンプングリコール酸</w:t>
            </w:r>
            <w:r w:rsidRPr="008E10C5">
              <w:rPr>
                <w:rFonts w:hint="eastAsia"/>
                <w:szCs w:val="20"/>
              </w:rPr>
              <w:t>ナトリウム、ヒプロメロース、ステアリン酸マグネシウム</w:t>
            </w:r>
          </w:p>
        </w:tc>
      </w:tr>
      <w:tr w:rsidR="00ED6938" w14:paraId="7CC1B749" w14:textId="77777777" w:rsidTr="0043393A">
        <w:trPr>
          <w:trHeight w:hRule="exact" w:val="312"/>
        </w:trPr>
        <w:tc>
          <w:tcPr>
            <w:tcW w:w="1764" w:type="dxa"/>
            <w:vAlign w:val="center"/>
          </w:tcPr>
          <w:p w14:paraId="6B8668DA" w14:textId="77777777" w:rsidR="00ED6938" w:rsidRPr="008E10C5" w:rsidRDefault="00ED6938" w:rsidP="00B635E5">
            <w:pPr>
              <w:jc w:val="distribute"/>
              <w:rPr>
                <w:rFonts w:ascii="Arial" w:eastAsia="ＭＳ ゴシック" w:hAnsi="Arial"/>
              </w:rPr>
            </w:pPr>
            <w:r w:rsidRPr="00B635E5">
              <w:rPr>
                <w:rFonts w:ascii="Arial" w:eastAsia="ＭＳ ゴシック" w:hAnsi="ＭＳ ゴシック" w:hint="eastAsia"/>
              </w:rPr>
              <w:t>薬効分類名</w:t>
            </w:r>
          </w:p>
        </w:tc>
        <w:tc>
          <w:tcPr>
            <w:tcW w:w="8370" w:type="dxa"/>
            <w:gridSpan w:val="2"/>
            <w:vAlign w:val="center"/>
          </w:tcPr>
          <w:p w14:paraId="1E715474" w14:textId="77777777" w:rsidR="00ED6938" w:rsidRPr="008E10C5" w:rsidRDefault="001E3EB8" w:rsidP="001E3EB8">
            <w:pPr>
              <w:jc w:val="center"/>
            </w:pPr>
            <w:r w:rsidRPr="008E10C5">
              <w:rPr>
                <w:rFonts w:hint="eastAsia"/>
              </w:rPr>
              <w:t>アリルアミン系経口抗真菌剤</w:t>
            </w:r>
          </w:p>
        </w:tc>
      </w:tr>
      <w:tr w:rsidR="00D761B1" w14:paraId="418751A4" w14:textId="77777777" w:rsidTr="001C180E">
        <w:trPr>
          <w:trHeight w:val="395"/>
        </w:trPr>
        <w:tc>
          <w:tcPr>
            <w:tcW w:w="1764" w:type="dxa"/>
            <w:vAlign w:val="center"/>
          </w:tcPr>
          <w:p w14:paraId="2EA160DC" w14:textId="77777777" w:rsidR="00D761B1" w:rsidRPr="008E10C5" w:rsidRDefault="00D761B1" w:rsidP="00B635E5">
            <w:pPr>
              <w:jc w:val="distribute"/>
              <w:rPr>
                <w:rFonts w:ascii="Arial" w:eastAsia="ＭＳ ゴシック" w:hAnsi="Arial"/>
              </w:rPr>
            </w:pPr>
            <w:r w:rsidRPr="008E10C5">
              <w:rPr>
                <w:rFonts w:ascii="Arial" w:eastAsia="ＭＳ ゴシック" w:hAnsi="ＭＳ ゴシック" w:hint="eastAsia"/>
              </w:rPr>
              <w:t>効能・効果</w:t>
            </w:r>
          </w:p>
        </w:tc>
        <w:tc>
          <w:tcPr>
            <w:tcW w:w="8370" w:type="dxa"/>
            <w:gridSpan w:val="2"/>
            <w:tcMar>
              <w:top w:w="28" w:type="dxa"/>
              <w:bottom w:w="28" w:type="dxa"/>
            </w:tcMar>
            <w:vAlign w:val="center"/>
          </w:tcPr>
          <w:p w14:paraId="000D9CC9" w14:textId="77777777" w:rsidR="00B04B69" w:rsidRPr="008E10C5" w:rsidRDefault="00B04B69" w:rsidP="009672AF">
            <w:pPr>
              <w:spacing w:line="240" w:lineRule="exact"/>
              <w:rPr>
                <w:szCs w:val="20"/>
              </w:rPr>
            </w:pPr>
            <w:r w:rsidRPr="008E10C5">
              <w:rPr>
                <w:rFonts w:hint="eastAsia"/>
                <w:szCs w:val="20"/>
              </w:rPr>
              <w:t>皮膚糸状菌（トリコフィトン属、ミクロスポルム属、エピデルモフィトン属）、</w:t>
            </w:r>
            <w:r w:rsidR="00CE7916">
              <w:rPr>
                <w:rFonts w:hint="eastAsia"/>
                <w:szCs w:val="20"/>
              </w:rPr>
              <w:t>カンジダ属、スポロトリックス属、ホンセカエア属による下記感染症</w:t>
            </w:r>
          </w:p>
          <w:p w14:paraId="25447BBA" w14:textId="77777777" w:rsidR="00B04B69" w:rsidRPr="008E10C5" w:rsidRDefault="00B04B69" w:rsidP="009672AF">
            <w:pPr>
              <w:spacing w:line="240" w:lineRule="exact"/>
              <w:rPr>
                <w:szCs w:val="20"/>
              </w:rPr>
            </w:pPr>
            <w:r w:rsidRPr="008E10C5">
              <w:rPr>
                <w:rFonts w:hint="eastAsia"/>
                <w:szCs w:val="20"/>
              </w:rPr>
              <w:t>但し、外用抗真菌剤では治療困難な患者に限る。</w:t>
            </w:r>
          </w:p>
          <w:p w14:paraId="4F4B4498" w14:textId="77777777" w:rsidR="00B04B69" w:rsidRPr="008E10C5" w:rsidRDefault="00B04B69" w:rsidP="009672AF">
            <w:pPr>
              <w:spacing w:line="240" w:lineRule="exact"/>
              <w:rPr>
                <w:szCs w:val="20"/>
              </w:rPr>
            </w:pPr>
            <w:r w:rsidRPr="008E10C5">
              <w:rPr>
                <w:rFonts w:hint="eastAsia"/>
                <w:szCs w:val="20"/>
              </w:rPr>
              <w:t>1</w:t>
            </w:r>
            <w:r w:rsidRPr="008E10C5">
              <w:rPr>
                <w:rFonts w:hint="eastAsia"/>
                <w:szCs w:val="20"/>
              </w:rPr>
              <w:t>．深在性皮膚真菌症</w:t>
            </w:r>
          </w:p>
          <w:p w14:paraId="15936146" w14:textId="77777777" w:rsidR="00B04B69" w:rsidRPr="008E10C5" w:rsidRDefault="00B04B69" w:rsidP="00894E33">
            <w:pPr>
              <w:spacing w:line="240" w:lineRule="exact"/>
              <w:ind w:left="286" w:firstLineChars="3" w:firstLine="6"/>
              <w:rPr>
                <w:szCs w:val="20"/>
              </w:rPr>
            </w:pPr>
            <w:r w:rsidRPr="008E10C5">
              <w:rPr>
                <w:rFonts w:hint="eastAsia"/>
                <w:szCs w:val="20"/>
              </w:rPr>
              <w:t>白癬性肉芽腫、スポロトリコーシス、クロモミコーシス</w:t>
            </w:r>
          </w:p>
          <w:p w14:paraId="52077D0A" w14:textId="77777777" w:rsidR="00B04B69" w:rsidRPr="008E10C5" w:rsidRDefault="00B04B69" w:rsidP="00DF0188">
            <w:pPr>
              <w:tabs>
                <w:tab w:val="left" w:pos="302"/>
              </w:tabs>
              <w:spacing w:line="240" w:lineRule="exact"/>
              <w:rPr>
                <w:szCs w:val="20"/>
              </w:rPr>
            </w:pPr>
            <w:r w:rsidRPr="008E10C5">
              <w:rPr>
                <w:rFonts w:hint="eastAsia"/>
                <w:szCs w:val="20"/>
              </w:rPr>
              <w:t>2</w:t>
            </w:r>
            <w:r w:rsidRPr="008E10C5">
              <w:rPr>
                <w:rFonts w:hint="eastAsia"/>
                <w:szCs w:val="20"/>
              </w:rPr>
              <w:t>．表在性皮膚真菌症</w:t>
            </w:r>
          </w:p>
          <w:p w14:paraId="0454D4D5" w14:textId="77777777" w:rsidR="00B04B69" w:rsidRPr="008E10C5" w:rsidRDefault="00B04B69" w:rsidP="00894E33">
            <w:pPr>
              <w:spacing w:line="240" w:lineRule="exact"/>
              <w:ind w:left="881" w:hanging="588"/>
              <w:rPr>
                <w:szCs w:val="20"/>
              </w:rPr>
            </w:pPr>
            <w:r w:rsidRPr="008E10C5">
              <w:rPr>
                <w:rFonts w:hint="eastAsia"/>
                <w:szCs w:val="20"/>
              </w:rPr>
              <w:t>白癬：爪白癬、手・足白癬、生毛部白癬、頭部白癬、ケルスス禿瘡、白癬性毛瘡、生毛部急性深在性白癬、硬毛部急性深在性白癬</w:t>
            </w:r>
          </w:p>
          <w:p w14:paraId="4575ADF2" w14:textId="77777777" w:rsidR="00B04B69" w:rsidRPr="008E10C5" w:rsidRDefault="00CE7916" w:rsidP="00DF0188">
            <w:pPr>
              <w:spacing w:line="240" w:lineRule="exact"/>
              <w:ind w:left="1105" w:hanging="196"/>
              <w:rPr>
                <w:szCs w:val="20"/>
              </w:rPr>
            </w:pPr>
            <w:r>
              <w:rPr>
                <w:rFonts w:hint="eastAsia"/>
                <w:szCs w:val="20"/>
              </w:rPr>
              <w:t>※</w:t>
            </w:r>
            <w:r w:rsidR="00B04B69" w:rsidRPr="008E10C5">
              <w:rPr>
                <w:rFonts w:hint="eastAsia"/>
                <w:szCs w:val="20"/>
              </w:rPr>
              <w:t>手・足白癬は角質増殖型の患者及び趾間型で角化・浸軟の強い患者、生毛部白癬は感染の部位及び範囲より外用抗真菌剤を適用できない患者に限る。</w:t>
            </w:r>
          </w:p>
          <w:p w14:paraId="4E9EEA17" w14:textId="77777777" w:rsidR="00D761B1" w:rsidRPr="008E10C5" w:rsidRDefault="00B04B69" w:rsidP="009672AF">
            <w:pPr>
              <w:spacing w:line="240" w:lineRule="exact"/>
              <w:ind w:left="284"/>
              <w:rPr>
                <w:szCs w:val="20"/>
              </w:rPr>
            </w:pPr>
            <w:r w:rsidRPr="008E10C5">
              <w:rPr>
                <w:rFonts w:hint="eastAsia"/>
                <w:szCs w:val="20"/>
              </w:rPr>
              <w:t>カンジダ症：爪カンジダ症</w:t>
            </w:r>
          </w:p>
        </w:tc>
      </w:tr>
      <w:tr w:rsidR="00D761B1" w14:paraId="506AD65D" w14:textId="77777777" w:rsidTr="002030BF">
        <w:trPr>
          <w:trHeight w:val="567"/>
        </w:trPr>
        <w:tc>
          <w:tcPr>
            <w:tcW w:w="1764" w:type="dxa"/>
            <w:vAlign w:val="center"/>
          </w:tcPr>
          <w:p w14:paraId="7F53DFE2" w14:textId="77777777" w:rsidR="00D761B1" w:rsidRPr="008E10C5" w:rsidRDefault="00D761B1" w:rsidP="00B635E5">
            <w:pPr>
              <w:jc w:val="distribute"/>
              <w:rPr>
                <w:rFonts w:ascii="Arial" w:eastAsia="ＭＳ ゴシック" w:hAnsi="Arial"/>
              </w:rPr>
            </w:pPr>
            <w:r w:rsidRPr="008E10C5">
              <w:rPr>
                <w:rFonts w:ascii="Arial" w:eastAsia="ＭＳ ゴシック" w:hAnsi="ＭＳ ゴシック" w:hint="eastAsia"/>
              </w:rPr>
              <w:t>用法・用量</w:t>
            </w:r>
          </w:p>
        </w:tc>
        <w:tc>
          <w:tcPr>
            <w:tcW w:w="8370" w:type="dxa"/>
            <w:gridSpan w:val="2"/>
            <w:tcMar>
              <w:top w:w="28" w:type="dxa"/>
              <w:bottom w:w="28" w:type="dxa"/>
            </w:tcMar>
            <w:vAlign w:val="center"/>
          </w:tcPr>
          <w:p w14:paraId="4FC0E31A" w14:textId="77777777" w:rsidR="00563397" w:rsidRDefault="001E3EB8" w:rsidP="008673EE">
            <w:pPr>
              <w:ind w:leftChars="19" w:left="36"/>
              <w:rPr>
                <w:szCs w:val="20"/>
              </w:rPr>
            </w:pPr>
            <w:r w:rsidRPr="008E10C5">
              <w:rPr>
                <w:rFonts w:hint="eastAsia"/>
                <w:szCs w:val="20"/>
              </w:rPr>
              <w:t>通常、成人にはテルビナフィンとして</w:t>
            </w:r>
            <w:r w:rsidRPr="008E10C5">
              <w:rPr>
                <w:rFonts w:hint="eastAsia"/>
                <w:szCs w:val="20"/>
              </w:rPr>
              <w:t>125mg</w:t>
            </w:r>
            <w:r w:rsidRPr="008E10C5">
              <w:rPr>
                <w:rFonts w:hint="eastAsia"/>
                <w:szCs w:val="20"/>
              </w:rPr>
              <w:t>を</w:t>
            </w:r>
            <w:r w:rsidRPr="008E10C5">
              <w:rPr>
                <w:rFonts w:hint="eastAsia"/>
                <w:szCs w:val="20"/>
              </w:rPr>
              <w:t>1</w:t>
            </w:r>
            <w:r w:rsidRPr="008E10C5">
              <w:rPr>
                <w:rFonts w:hint="eastAsia"/>
                <w:szCs w:val="20"/>
              </w:rPr>
              <w:t>日</w:t>
            </w:r>
            <w:r w:rsidRPr="008E10C5">
              <w:rPr>
                <w:rFonts w:hint="eastAsia"/>
                <w:szCs w:val="20"/>
              </w:rPr>
              <w:t>1</w:t>
            </w:r>
            <w:r w:rsidRPr="008E10C5">
              <w:rPr>
                <w:rFonts w:hint="eastAsia"/>
                <w:szCs w:val="20"/>
              </w:rPr>
              <w:t>回食後に経口投与する。</w:t>
            </w:r>
          </w:p>
          <w:p w14:paraId="35D53BFB" w14:textId="77777777" w:rsidR="00D761B1" w:rsidRPr="008E10C5" w:rsidRDefault="001E3EB8" w:rsidP="008673EE">
            <w:pPr>
              <w:ind w:leftChars="19" w:left="36"/>
              <w:rPr>
                <w:szCs w:val="20"/>
              </w:rPr>
            </w:pPr>
            <w:r w:rsidRPr="008E10C5">
              <w:rPr>
                <w:rFonts w:hint="eastAsia"/>
                <w:szCs w:val="20"/>
              </w:rPr>
              <w:t>なお、年齢、症状により適宜増減する。</w:t>
            </w:r>
          </w:p>
        </w:tc>
      </w:tr>
      <w:tr w:rsidR="00B016F8" w14:paraId="3AD2F5A2" w14:textId="77777777" w:rsidTr="00DF0188">
        <w:tc>
          <w:tcPr>
            <w:tcW w:w="1764" w:type="dxa"/>
            <w:tcBorders>
              <w:bottom w:val="single" w:sz="4" w:space="0" w:color="auto"/>
            </w:tcBorders>
            <w:vAlign w:val="center"/>
          </w:tcPr>
          <w:p w14:paraId="2DAE80E2" w14:textId="77777777" w:rsidR="00B016F8" w:rsidRPr="008E10C5" w:rsidRDefault="00B016F8" w:rsidP="00B635E5">
            <w:pPr>
              <w:jc w:val="distribute"/>
              <w:rPr>
                <w:rFonts w:ascii="Arial" w:eastAsia="ＭＳ ゴシック" w:hAnsi="Arial"/>
              </w:rPr>
            </w:pPr>
            <w:r w:rsidRPr="008E10C5">
              <w:rPr>
                <w:rFonts w:ascii="Arial" w:eastAsia="ＭＳ ゴシック" w:hAnsi="ＭＳ ゴシック" w:hint="eastAsia"/>
              </w:rPr>
              <w:t>製品の性状</w:t>
            </w:r>
          </w:p>
        </w:tc>
        <w:tc>
          <w:tcPr>
            <w:tcW w:w="4185" w:type="dxa"/>
            <w:tcBorders>
              <w:bottom w:val="single" w:sz="4" w:space="0" w:color="auto"/>
            </w:tcBorders>
            <w:tcMar>
              <w:top w:w="28" w:type="dxa"/>
              <w:bottom w:w="28" w:type="dxa"/>
              <w:right w:w="0" w:type="dxa"/>
            </w:tcMar>
          </w:tcPr>
          <w:p w14:paraId="1A932270" w14:textId="77777777" w:rsidR="00B016F8" w:rsidRPr="008E10C5" w:rsidRDefault="00057369" w:rsidP="00857732">
            <w:pPr>
              <w:rPr>
                <w:szCs w:val="20"/>
              </w:rPr>
            </w:pPr>
            <w:r w:rsidRPr="008E10C5">
              <w:rPr>
                <w:rFonts w:hint="eastAsia"/>
                <w:szCs w:val="20"/>
              </w:rPr>
              <w:t>白</w:t>
            </w:r>
            <w:r w:rsidR="001E3EB8" w:rsidRPr="008E10C5">
              <w:rPr>
                <w:rFonts w:hint="eastAsia"/>
              </w:rPr>
              <w:t>色～淡黄白色</w:t>
            </w:r>
            <w:r w:rsidR="00857732" w:rsidRPr="008E10C5">
              <w:rPr>
                <w:rFonts w:hint="eastAsia"/>
                <w:szCs w:val="20"/>
              </w:rPr>
              <w:t>の</w:t>
            </w:r>
            <w:r w:rsidR="001E3EB8" w:rsidRPr="008E10C5">
              <w:rPr>
                <w:rFonts w:hint="eastAsia"/>
              </w:rPr>
              <w:t>割線入り素錠</w:t>
            </w:r>
          </w:p>
          <w:tbl>
            <w:tblPr>
              <w:tblW w:w="4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
              <w:gridCol w:w="936"/>
              <w:gridCol w:w="936"/>
              <w:gridCol w:w="1273"/>
            </w:tblGrid>
            <w:tr w:rsidR="003F779B" w:rsidRPr="00BC77A3" w14:paraId="6134463E" w14:textId="77777777" w:rsidTr="00DF0188">
              <w:tc>
                <w:tcPr>
                  <w:tcW w:w="936" w:type="dxa"/>
                  <w:shd w:val="clear" w:color="auto" w:fill="auto"/>
                  <w:tcMar>
                    <w:left w:w="0" w:type="dxa"/>
                    <w:right w:w="0" w:type="dxa"/>
                  </w:tcMar>
                  <w:vAlign w:val="center"/>
                </w:tcPr>
                <w:p w14:paraId="199CEF58" w14:textId="77777777" w:rsidR="003F779B" w:rsidRPr="00352154" w:rsidRDefault="003F779B" w:rsidP="00BC77A3">
                  <w:pPr>
                    <w:jc w:val="center"/>
                    <w:rPr>
                      <w:rFonts w:ascii="ＭＳ ゴシック" w:eastAsia="ＭＳ ゴシック" w:hAnsi="ＭＳ ゴシック"/>
                      <w:sz w:val="18"/>
                      <w:szCs w:val="18"/>
                    </w:rPr>
                  </w:pPr>
                  <w:r w:rsidRPr="00352154">
                    <w:rPr>
                      <w:rFonts w:ascii="ＭＳ ゴシック" w:eastAsia="ＭＳ ゴシック" w:hAnsi="ＭＳ ゴシック" w:hint="eastAsia"/>
                      <w:sz w:val="18"/>
                      <w:szCs w:val="18"/>
                    </w:rPr>
                    <w:t>表面</w:t>
                  </w:r>
                </w:p>
              </w:tc>
              <w:tc>
                <w:tcPr>
                  <w:tcW w:w="936" w:type="dxa"/>
                  <w:shd w:val="clear" w:color="auto" w:fill="auto"/>
                  <w:tcMar>
                    <w:left w:w="0" w:type="dxa"/>
                    <w:right w:w="0" w:type="dxa"/>
                  </w:tcMar>
                  <w:vAlign w:val="center"/>
                </w:tcPr>
                <w:p w14:paraId="3496AF7A" w14:textId="77777777" w:rsidR="003F779B" w:rsidRPr="00352154" w:rsidRDefault="003F779B" w:rsidP="00BC77A3">
                  <w:pPr>
                    <w:jc w:val="center"/>
                    <w:rPr>
                      <w:rFonts w:ascii="ＭＳ ゴシック" w:eastAsia="ＭＳ ゴシック" w:hAnsi="ＭＳ ゴシック"/>
                      <w:sz w:val="18"/>
                      <w:szCs w:val="18"/>
                    </w:rPr>
                  </w:pPr>
                  <w:r w:rsidRPr="00352154">
                    <w:rPr>
                      <w:rFonts w:ascii="ＭＳ ゴシック" w:eastAsia="ＭＳ ゴシック" w:hAnsi="ＭＳ ゴシック" w:hint="eastAsia"/>
                      <w:sz w:val="18"/>
                      <w:szCs w:val="18"/>
                    </w:rPr>
                    <w:t>裏面</w:t>
                  </w:r>
                </w:p>
              </w:tc>
              <w:tc>
                <w:tcPr>
                  <w:tcW w:w="936" w:type="dxa"/>
                  <w:tcBorders>
                    <w:right w:val="single" w:sz="4" w:space="0" w:color="auto"/>
                  </w:tcBorders>
                  <w:shd w:val="clear" w:color="auto" w:fill="auto"/>
                  <w:tcMar>
                    <w:left w:w="0" w:type="dxa"/>
                    <w:right w:w="0" w:type="dxa"/>
                  </w:tcMar>
                  <w:vAlign w:val="center"/>
                </w:tcPr>
                <w:p w14:paraId="13D6B11E" w14:textId="77777777" w:rsidR="003F779B" w:rsidRPr="00352154" w:rsidRDefault="003F779B" w:rsidP="00BC77A3">
                  <w:pPr>
                    <w:jc w:val="center"/>
                    <w:rPr>
                      <w:rFonts w:ascii="ＭＳ ゴシック" w:eastAsia="ＭＳ ゴシック" w:hAnsi="ＭＳ ゴシック"/>
                      <w:sz w:val="18"/>
                      <w:szCs w:val="18"/>
                    </w:rPr>
                  </w:pPr>
                  <w:r w:rsidRPr="00352154">
                    <w:rPr>
                      <w:rFonts w:ascii="ＭＳ ゴシック" w:eastAsia="ＭＳ ゴシック" w:hAnsi="ＭＳ ゴシック" w:hint="eastAsia"/>
                      <w:sz w:val="18"/>
                      <w:szCs w:val="18"/>
                    </w:rPr>
                    <w:t>側面</w:t>
                  </w:r>
                </w:p>
              </w:tc>
              <w:tc>
                <w:tcPr>
                  <w:tcW w:w="1273" w:type="dxa"/>
                  <w:vMerge w:val="restart"/>
                  <w:tcBorders>
                    <w:top w:val="single" w:sz="4" w:space="0" w:color="FFFFFF"/>
                    <w:left w:val="single" w:sz="4" w:space="0" w:color="auto"/>
                    <w:bottom w:val="single" w:sz="4" w:space="0" w:color="FFFFFF"/>
                    <w:right w:val="single" w:sz="4" w:space="0" w:color="FFFFFF"/>
                  </w:tcBorders>
                  <w:shd w:val="clear" w:color="auto" w:fill="auto"/>
                  <w:tcMar>
                    <w:left w:w="28" w:type="dxa"/>
                    <w:right w:w="0" w:type="dxa"/>
                  </w:tcMar>
                </w:tcPr>
                <w:p w14:paraId="2E557E8D" w14:textId="77777777" w:rsidR="003F779B" w:rsidRDefault="00D4450A" w:rsidP="003F779B">
                  <w:r>
                    <w:rPr>
                      <w:rFonts w:hint="eastAsia"/>
                    </w:rPr>
                    <w:t>直径：</w:t>
                  </w:r>
                  <w:r w:rsidR="004419D5">
                    <w:rPr>
                      <w:rFonts w:hint="eastAsia"/>
                    </w:rPr>
                    <w:t>9.</w:t>
                  </w:r>
                  <w:r w:rsidR="004419D5">
                    <w:t>1</w:t>
                  </w:r>
                  <w:r w:rsidR="003F779B" w:rsidRPr="0036602B">
                    <w:rPr>
                      <w:rFonts w:hint="eastAsia"/>
                    </w:rPr>
                    <w:t>mm</w:t>
                  </w:r>
                </w:p>
                <w:p w14:paraId="20E4B8F9" w14:textId="77777777" w:rsidR="003F779B" w:rsidRDefault="00D4450A" w:rsidP="003F779B">
                  <w:r>
                    <w:rPr>
                      <w:rFonts w:hint="eastAsia"/>
                    </w:rPr>
                    <w:t>厚さ：</w:t>
                  </w:r>
                  <w:r w:rsidR="003F779B" w:rsidRPr="0036602B">
                    <w:rPr>
                      <w:rFonts w:hint="eastAsia"/>
                    </w:rPr>
                    <w:t>3</w:t>
                  </w:r>
                  <w:r>
                    <w:rPr>
                      <w:rFonts w:hint="eastAsia"/>
                    </w:rPr>
                    <w:t>.4</w:t>
                  </w:r>
                  <w:r w:rsidR="003F779B" w:rsidRPr="0036602B">
                    <w:rPr>
                      <w:rFonts w:hint="eastAsia"/>
                    </w:rPr>
                    <w:t>mm</w:t>
                  </w:r>
                </w:p>
                <w:p w14:paraId="0198E275" w14:textId="77777777" w:rsidR="003F779B" w:rsidRPr="00BC77A3" w:rsidRDefault="003F779B" w:rsidP="003F779B">
                  <w:pPr>
                    <w:rPr>
                      <w:szCs w:val="20"/>
                    </w:rPr>
                  </w:pPr>
                  <w:r w:rsidRPr="0036602B">
                    <w:rPr>
                      <w:rFonts w:hint="eastAsia"/>
                    </w:rPr>
                    <w:t>重量：</w:t>
                  </w:r>
                  <w:r w:rsidR="00D4450A">
                    <w:rPr>
                      <w:rFonts w:hint="eastAsia"/>
                    </w:rPr>
                    <w:t>20</w:t>
                  </w:r>
                  <w:r w:rsidRPr="0036602B">
                    <w:rPr>
                      <w:rFonts w:hint="eastAsia"/>
                    </w:rPr>
                    <w:t>0</w:t>
                  </w:r>
                  <w:r>
                    <w:rPr>
                      <w:rFonts w:hint="eastAsia"/>
                    </w:rPr>
                    <w:t>mg</w:t>
                  </w:r>
                </w:p>
              </w:tc>
            </w:tr>
            <w:tr w:rsidR="003F779B" w:rsidRPr="00BC77A3" w14:paraId="0A46EF0D" w14:textId="77777777" w:rsidTr="00DF0188">
              <w:trPr>
                <w:trHeight w:hRule="exact" w:val="936"/>
              </w:trPr>
              <w:tc>
                <w:tcPr>
                  <w:tcW w:w="936" w:type="dxa"/>
                  <w:shd w:val="clear" w:color="auto" w:fill="auto"/>
                  <w:tcMar>
                    <w:left w:w="0" w:type="dxa"/>
                    <w:right w:w="0" w:type="dxa"/>
                  </w:tcMar>
                  <w:vAlign w:val="center"/>
                </w:tcPr>
                <w:p w14:paraId="2D77AB04" w14:textId="77C06D2B" w:rsidR="003F779B" w:rsidRPr="0036602B" w:rsidRDefault="00DE446F" w:rsidP="00BC77A3">
                  <w:pPr>
                    <w:jc w:val="center"/>
                  </w:pPr>
                  <w:r>
                    <w:rPr>
                      <w:noProof/>
                    </w:rPr>
                    <w:drawing>
                      <wp:inline distT="0" distB="0" distL="0" distR="0" wp14:anchorId="4A07EECA" wp14:editId="42294F30">
                        <wp:extent cx="581025" cy="5810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r="68066"/>
                                <a:stretch>
                                  <a:fillRect/>
                                </a:stretch>
                              </pic:blipFill>
                              <pic:spPr bwMode="auto">
                                <a:xfrm>
                                  <a:off x="0" y="0"/>
                                  <a:ext cx="581025" cy="581025"/>
                                </a:xfrm>
                                <a:prstGeom prst="rect">
                                  <a:avLst/>
                                </a:prstGeom>
                                <a:noFill/>
                                <a:ln>
                                  <a:noFill/>
                                </a:ln>
                                <a:effectLst/>
                              </pic:spPr>
                            </pic:pic>
                          </a:graphicData>
                        </a:graphic>
                      </wp:inline>
                    </w:drawing>
                  </w:r>
                </w:p>
              </w:tc>
              <w:tc>
                <w:tcPr>
                  <w:tcW w:w="936" w:type="dxa"/>
                  <w:shd w:val="clear" w:color="auto" w:fill="auto"/>
                  <w:tcMar>
                    <w:left w:w="0" w:type="dxa"/>
                    <w:right w:w="0" w:type="dxa"/>
                  </w:tcMar>
                  <w:vAlign w:val="center"/>
                </w:tcPr>
                <w:p w14:paraId="62E88C5F" w14:textId="64D17789" w:rsidR="003F779B" w:rsidRPr="0036602B" w:rsidRDefault="00DE446F" w:rsidP="00DF0188">
                  <w:pPr>
                    <w:ind w:leftChars="-2" w:hangingChars="2" w:hanging="4"/>
                    <w:jc w:val="center"/>
                  </w:pPr>
                  <w:r>
                    <w:rPr>
                      <w:noProof/>
                    </w:rPr>
                    <w:drawing>
                      <wp:inline distT="0" distB="0" distL="0" distR="0" wp14:anchorId="2D609DB1" wp14:editId="16E3F48C">
                        <wp:extent cx="581025" cy="5810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33807" r="34325"/>
                                <a:stretch>
                                  <a:fillRect/>
                                </a:stretch>
                              </pic:blipFill>
                              <pic:spPr bwMode="auto">
                                <a:xfrm>
                                  <a:off x="0" y="0"/>
                                  <a:ext cx="581025" cy="581025"/>
                                </a:xfrm>
                                <a:prstGeom prst="rect">
                                  <a:avLst/>
                                </a:prstGeom>
                                <a:noFill/>
                                <a:ln>
                                  <a:noFill/>
                                </a:ln>
                                <a:effectLst/>
                              </pic:spPr>
                            </pic:pic>
                          </a:graphicData>
                        </a:graphic>
                      </wp:inline>
                    </w:drawing>
                  </w:r>
                </w:p>
              </w:tc>
              <w:tc>
                <w:tcPr>
                  <w:tcW w:w="936" w:type="dxa"/>
                  <w:tcBorders>
                    <w:right w:val="single" w:sz="4" w:space="0" w:color="auto"/>
                  </w:tcBorders>
                  <w:shd w:val="clear" w:color="auto" w:fill="auto"/>
                  <w:tcMar>
                    <w:left w:w="0" w:type="dxa"/>
                    <w:right w:w="0" w:type="dxa"/>
                  </w:tcMar>
                  <w:vAlign w:val="center"/>
                </w:tcPr>
                <w:p w14:paraId="0E5E0323" w14:textId="36ACCD81" w:rsidR="003F779B" w:rsidRPr="0036602B" w:rsidRDefault="00DE446F" w:rsidP="00BC77A3">
                  <w:pPr>
                    <w:jc w:val="center"/>
                  </w:pPr>
                  <w:r>
                    <w:rPr>
                      <w:noProof/>
                    </w:rPr>
                    <w:drawing>
                      <wp:inline distT="0" distB="0" distL="0" distR="0" wp14:anchorId="6E8E4EC3" wp14:editId="3F1800D0">
                        <wp:extent cx="581025" cy="581025"/>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67783"/>
                                <a:stretch>
                                  <a:fillRect/>
                                </a:stretch>
                              </pic:blipFill>
                              <pic:spPr bwMode="auto">
                                <a:xfrm>
                                  <a:off x="0" y="0"/>
                                  <a:ext cx="581025" cy="581025"/>
                                </a:xfrm>
                                <a:prstGeom prst="rect">
                                  <a:avLst/>
                                </a:prstGeom>
                                <a:noFill/>
                                <a:ln>
                                  <a:noFill/>
                                </a:ln>
                                <a:effectLst/>
                              </pic:spPr>
                            </pic:pic>
                          </a:graphicData>
                        </a:graphic>
                      </wp:inline>
                    </w:drawing>
                  </w:r>
                </w:p>
              </w:tc>
              <w:tc>
                <w:tcPr>
                  <w:tcW w:w="1273" w:type="dxa"/>
                  <w:vMerge/>
                  <w:tcBorders>
                    <w:top w:val="nil"/>
                    <w:left w:val="single" w:sz="4" w:space="0" w:color="auto"/>
                    <w:bottom w:val="single" w:sz="4" w:space="0" w:color="FFFFFF"/>
                    <w:right w:val="single" w:sz="4" w:space="0" w:color="FFFFFF"/>
                  </w:tcBorders>
                  <w:shd w:val="clear" w:color="auto" w:fill="auto"/>
                </w:tcPr>
                <w:p w14:paraId="47AB1B66" w14:textId="77777777" w:rsidR="003F779B" w:rsidRPr="0036602B" w:rsidRDefault="003F779B" w:rsidP="00BC77A3">
                  <w:pPr>
                    <w:jc w:val="center"/>
                  </w:pPr>
                </w:p>
              </w:tc>
            </w:tr>
          </w:tbl>
          <w:p w14:paraId="5E4D74C7" w14:textId="77777777" w:rsidR="00B016F8" w:rsidRPr="00866A4E" w:rsidRDefault="00B016F8" w:rsidP="002030BF">
            <w:pPr>
              <w:spacing w:beforeLines="25" w:before="73"/>
              <w:rPr>
                <w:rFonts w:ascii="ＭＳ 明朝" w:hAnsi="ＭＳ 明朝"/>
                <w:szCs w:val="20"/>
              </w:rPr>
            </w:pPr>
            <w:r>
              <w:rPr>
                <w:rFonts w:hint="eastAsia"/>
                <w:szCs w:val="20"/>
              </w:rPr>
              <w:t>識別コード：</w:t>
            </w:r>
            <w:r w:rsidR="00D4450A">
              <w:rPr>
                <w:rFonts w:hint="eastAsia"/>
                <w:szCs w:val="20"/>
              </w:rPr>
              <w:t>TER</w:t>
            </w:r>
            <w:r w:rsidR="002A1328">
              <w:rPr>
                <w:rFonts w:hint="eastAsia"/>
                <w:szCs w:val="20"/>
              </w:rPr>
              <w:t xml:space="preserve">　</w:t>
            </w:r>
            <w:r w:rsidR="00D4450A">
              <w:rPr>
                <w:rFonts w:hint="eastAsia"/>
                <w:szCs w:val="20"/>
              </w:rPr>
              <w:t>125</w:t>
            </w:r>
          </w:p>
        </w:tc>
        <w:tc>
          <w:tcPr>
            <w:tcW w:w="4185" w:type="dxa"/>
            <w:tcBorders>
              <w:bottom w:val="single" w:sz="4" w:space="0" w:color="auto"/>
            </w:tcBorders>
            <w:tcMar>
              <w:top w:w="28" w:type="dxa"/>
              <w:bottom w:w="28" w:type="dxa"/>
            </w:tcMar>
          </w:tcPr>
          <w:p w14:paraId="5C85D2D4" w14:textId="77777777" w:rsidR="001E3EB8" w:rsidRPr="008E10C5" w:rsidRDefault="001E3EB8" w:rsidP="001E3EB8">
            <w:pPr>
              <w:rPr>
                <w:szCs w:val="20"/>
              </w:rPr>
            </w:pPr>
            <w:r w:rsidRPr="008E10C5">
              <w:rPr>
                <w:rFonts w:hint="eastAsia"/>
                <w:szCs w:val="20"/>
              </w:rPr>
              <w:t>白</w:t>
            </w:r>
            <w:r w:rsidRPr="008E10C5">
              <w:rPr>
                <w:rFonts w:hint="eastAsia"/>
              </w:rPr>
              <w:t>色～淡黄白色</w:t>
            </w:r>
            <w:r w:rsidRPr="008E10C5">
              <w:rPr>
                <w:rFonts w:hint="eastAsia"/>
                <w:szCs w:val="20"/>
              </w:rPr>
              <w:t>の</w:t>
            </w:r>
            <w:r w:rsidR="00DF6E6F">
              <w:rPr>
                <w:rFonts w:hint="eastAsia"/>
                <w:szCs w:val="20"/>
              </w:rPr>
              <w:t>片面</w:t>
            </w:r>
            <w:r w:rsidRPr="008E10C5">
              <w:rPr>
                <w:rFonts w:hint="eastAsia"/>
              </w:rPr>
              <w:t>割線入り素錠</w:t>
            </w:r>
          </w:p>
          <w:p w14:paraId="14F5F55F" w14:textId="77777777" w:rsidR="00B016F8" w:rsidRPr="008E10C5" w:rsidRDefault="00B016F8" w:rsidP="00C55AA3">
            <w:pPr>
              <w:tabs>
                <w:tab w:val="left" w:pos="882"/>
              </w:tabs>
              <w:rPr>
                <w:szCs w:val="20"/>
              </w:rPr>
            </w:pPr>
            <w:r w:rsidRPr="008E10C5">
              <w:rPr>
                <w:rFonts w:hint="eastAsia"/>
                <w:szCs w:val="20"/>
              </w:rPr>
              <w:t>直径：</w:t>
            </w:r>
            <w:r w:rsidR="001E3EB8" w:rsidRPr="008E10C5">
              <w:rPr>
                <w:rFonts w:hint="eastAsia"/>
                <w:szCs w:val="20"/>
              </w:rPr>
              <w:t>9.0</w:t>
            </w:r>
            <w:r w:rsidRPr="008E10C5">
              <w:rPr>
                <w:rFonts w:hint="eastAsia"/>
                <w:szCs w:val="20"/>
              </w:rPr>
              <w:t>mm</w:t>
            </w:r>
            <w:r w:rsidRPr="008E10C5">
              <w:rPr>
                <w:rFonts w:hint="eastAsia"/>
                <w:szCs w:val="20"/>
              </w:rPr>
              <w:t xml:space="preserve">　</w:t>
            </w:r>
            <w:r w:rsidRPr="008E10C5">
              <w:rPr>
                <w:szCs w:val="20"/>
              </w:rPr>
              <w:br/>
            </w:r>
            <w:r w:rsidRPr="008E10C5">
              <w:rPr>
                <w:rFonts w:hint="eastAsia"/>
                <w:szCs w:val="20"/>
              </w:rPr>
              <w:t>厚さ：</w:t>
            </w:r>
            <w:r w:rsidR="00893052" w:rsidRPr="008E10C5">
              <w:rPr>
                <w:rFonts w:hint="eastAsia"/>
                <w:szCs w:val="20"/>
              </w:rPr>
              <w:t>3.</w:t>
            </w:r>
            <w:r w:rsidR="001E3EB8" w:rsidRPr="008E10C5">
              <w:rPr>
                <w:rFonts w:hint="eastAsia"/>
                <w:szCs w:val="20"/>
              </w:rPr>
              <w:t>7</w:t>
            </w:r>
            <w:r w:rsidRPr="008E10C5">
              <w:rPr>
                <w:rFonts w:hint="eastAsia"/>
                <w:szCs w:val="20"/>
              </w:rPr>
              <w:t>mm</w:t>
            </w:r>
            <w:r w:rsidRPr="008E10C5">
              <w:rPr>
                <w:rFonts w:hint="eastAsia"/>
                <w:szCs w:val="20"/>
              </w:rPr>
              <w:t xml:space="preserve">　</w:t>
            </w:r>
            <w:r w:rsidRPr="008E10C5">
              <w:rPr>
                <w:szCs w:val="20"/>
              </w:rPr>
              <w:br/>
            </w:r>
            <w:r w:rsidRPr="008E10C5">
              <w:rPr>
                <w:rFonts w:hint="eastAsia"/>
                <w:szCs w:val="20"/>
              </w:rPr>
              <w:t>重量：</w:t>
            </w:r>
            <w:r w:rsidR="001E3EB8" w:rsidRPr="008E10C5">
              <w:rPr>
                <w:rFonts w:hint="eastAsia"/>
                <w:szCs w:val="20"/>
              </w:rPr>
              <w:t>21</w:t>
            </w:r>
            <w:r w:rsidR="008673EE" w:rsidRPr="008E10C5">
              <w:rPr>
                <w:rFonts w:hint="eastAsia"/>
                <w:szCs w:val="20"/>
              </w:rPr>
              <w:t>0</w:t>
            </w:r>
            <w:r w:rsidRPr="008E10C5">
              <w:rPr>
                <w:rFonts w:hint="eastAsia"/>
                <w:szCs w:val="20"/>
              </w:rPr>
              <w:t>mg</w:t>
            </w:r>
            <w:r w:rsidRPr="008E10C5">
              <w:rPr>
                <w:rFonts w:hAnsi="ＭＳ 明朝" w:hint="eastAsia"/>
                <w:szCs w:val="20"/>
              </w:rPr>
              <w:t xml:space="preserve">　</w:t>
            </w:r>
            <w:r w:rsidRPr="008E10C5">
              <w:rPr>
                <w:szCs w:val="20"/>
              </w:rPr>
              <w:br/>
            </w:r>
          </w:p>
        </w:tc>
      </w:tr>
      <w:tr w:rsidR="00D761B1" w14:paraId="3EA5F4CE" w14:textId="77777777" w:rsidTr="00A063F6">
        <w:trPr>
          <w:trHeight w:hRule="exact" w:val="3742"/>
        </w:trPr>
        <w:tc>
          <w:tcPr>
            <w:tcW w:w="1764" w:type="dxa"/>
            <w:vAlign w:val="center"/>
          </w:tcPr>
          <w:p w14:paraId="76950120" w14:textId="77777777" w:rsidR="00D761B1" w:rsidRPr="008E10C5" w:rsidRDefault="00D761B1" w:rsidP="00B635E5">
            <w:pPr>
              <w:jc w:val="distribute"/>
              <w:rPr>
                <w:rFonts w:ascii="Arial" w:eastAsia="ＭＳ ゴシック" w:hAnsi="Arial"/>
              </w:rPr>
            </w:pPr>
            <w:r w:rsidRPr="008E10C5">
              <w:rPr>
                <w:rFonts w:ascii="Arial" w:eastAsia="ＭＳ ゴシック" w:hAnsi="ＭＳ ゴシック" w:hint="eastAsia"/>
              </w:rPr>
              <w:t>先発品との</w:t>
            </w:r>
          </w:p>
          <w:p w14:paraId="4D590F6D" w14:textId="77777777" w:rsidR="00D761B1" w:rsidRPr="008E10C5" w:rsidRDefault="00D761B1" w:rsidP="00B635E5">
            <w:pPr>
              <w:jc w:val="distribute"/>
              <w:rPr>
                <w:rFonts w:ascii="Arial" w:eastAsia="ＭＳ ゴシック" w:hAnsi="Arial"/>
                <w:sz w:val="22"/>
              </w:rPr>
            </w:pPr>
            <w:r w:rsidRPr="008E10C5">
              <w:rPr>
                <w:rFonts w:ascii="Arial" w:eastAsia="ＭＳ ゴシック" w:hAnsi="ＭＳ ゴシック" w:hint="eastAsia"/>
              </w:rPr>
              <w:t>同等性</w:t>
            </w:r>
          </w:p>
        </w:tc>
        <w:tc>
          <w:tcPr>
            <w:tcW w:w="4185" w:type="dxa"/>
            <w:tcMar>
              <w:top w:w="28" w:type="dxa"/>
              <w:bottom w:w="28" w:type="dxa"/>
            </w:tcMar>
          </w:tcPr>
          <w:p w14:paraId="6CB1AA87" w14:textId="77777777" w:rsidR="00D761B1" w:rsidRPr="00BB3A12" w:rsidRDefault="00D761B1" w:rsidP="00A063F6">
            <w:pPr>
              <w:widowControl w:val="0"/>
              <w:autoSpaceDE w:val="0"/>
              <w:autoSpaceDN w:val="0"/>
              <w:adjustRightInd w:val="0"/>
              <w:snapToGrid w:val="0"/>
              <w:rPr>
                <w:rFonts w:ascii="Arial" w:eastAsia="ＭＳ ゴシック" w:hAnsi="Arial" w:cs="Arial"/>
                <w:szCs w:val="20"/>
              </w:rPr>
            </w:pPr>
            <w:r w:rsidRPr="00BB3A12">
              <w:rPr>
                <w:rFonts w:ascii="Arial" w:eastAsia="ＭＳ ゴシック" w:hAnsi="Arial" w:cs="Arial"/>
              </w:rPr>
              <w:t>溶出試験（試験液：</w:t>
            </w:r>
            <w:r w:rsidR="00BB3A12" w:rsidRPr="00BB3A12">
              <w:rPr>
                <w:rFonts w:ascii="Arial" w:eastAsia="ＭＳ ゴシック" w:hAnsi="Arial" w:cs="Arial"/>
                <w:szCs w:val="20"/>
              </w:rPr>
              <w:t>pH</w:t>
            </w:r>
            <w:r w:rsidR="00BB3A12" w:rsidRPr="00BB3A12">
              <w:rPr>
                <w:rFonts w:ascii="Arial" w:eastAsia="ＭＳ ゴシック" w:hAnsi="Arial" w:cs="Arial" w:hint="eastAsia"/>
                <w:szCs w:val="20"/>
              </w:rPr>
              <w:t>1.2</w:t>
            </w:r>
            <w:r w:rsidR="004C6157">
              <w:rPr>
                <w:rFonts w:ascii="Arial" w:eastAsia="ＭＳ ゴシック" w:hAnsi="Arial" w:cs="Arial" w:hint="eastAsia"/>
                <w:szCs w:val="20"/>
              </w:rPr>
              <w:t xml:space="preserve">　</w:t>
            </w:r>
            <w:r w:rsidR="004C6157">
              <w:rPr>
                <w:rFonts w:ascii="Arial" w:eastAsia="ＭＳ ゴシック" w:hAnsi="Arial" w:cs="Arial" w:hint="eastAsia"/>
                <w:szCs w:val="20"/>
              </w:rPr>
              <w:t>50rpm</w:t>
            </w:r>
            <w:r w:rsidRPr="00BB3A12">
              <w:rPr>
                <w:rFonts w:ascii="Arial" w:eastAsia="ＭＳ ゴシック" w:hAnsi="Arial" w:cs="Arial"/>
              </w:rPr>
              <w:t>）</w:t>
            </w:r>
          </w:p>
          <w:p w14:paraId="76E7E664" w14:textId="78B68537" w:rsidR="004931F4" w:rsidRPr="00BB3A12" w:rsidRDefault="00DE446F" w:rsidP="00A063F6">
            <w:pPr>
              <w:tabs>
                <w:tab w:val="left" w:pos="1132"/>
              </w:tabs>
              <w:snapToGrid w:val="0"/>
              <w:ind w:leftChars="-51" w:hangingChars="51" w:hanging="98"/>
              <w:rPr>
                <w:sz w:val="16"/>
              </w:rPr>
            </w:pPr>
            <w:r>
              <w:rPr>
                <w:noProof/>
              </w:rPr>
              <w:drawing>
                <wp:inline distT="0" distB="0" distL="0" distR="0" wp14:anchorId="64708945" wp14:editId="2C291504">
                  <wp:extent cx="2667000" cy="1800225"/>
                  <wp:effectExtent l="0" t="0" r="0" b="0"/>
                  <wp:docPr id="4" name="グラフ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グラフ 1"/>
                          <pic:cNvPicPr>
                            <a:picLocks noChangeAspect="1" noChangeArrowheads="1"/>
                          </pic:cNvPicPr>
                        </pic:nvPicPr>
                        <pic:blipFill>
                          <a:blip r:embed="rId10" cstate="print">
                            <a:extLst>
                              <a:ext uri="{28A0092B-C50C-407E-A947-70E740481C1C}">
                                <a14:useLocalDpi xmlns:a14="http://schemas.microsoft.com/office/drawing/2010/main" val="0"/>
                              </a:ext>
                            </a:extLst>
                          </a:blip>
                          <a:srcRect b="-18"/>
                          <a:stretch>
                            <a:fillRect/>
                          </a:stretch>
                        </pic:blipFill>
                        <pic:spPr bwMode="auto">
                          <a:xfrm>
                            <a:off x="0" y="0"/>
                            <a:ext cx="2667000" cy="1800225"/>
                          </a:xfrm>
                          <a:prstGeom prst="rect">
                            <a:avLst/>
                          </a:prstGeom>
                          <a:noFill/>
                          <a:ln>
                            <a:noFill/>
                          </a:ln>
                        </pic:spPr>
                      </pic:pic>
                    </a:graphicData>
                  </a:graphic>
                </wp:inline>
              </w:drawing>
            </w:r>
          </w:p>
          <w:p w14:paraId="397E7327" w14:textId="77777777" w:rsidR="00D761B1" w:rsidRPr="00D76875" w:rsidRDefault="00A7137B" w:rsidP="00A063F6">
            <w:pPr>
              <w:snapToGrid w:val="0"/>
              <w:rPr>
                <w:sz w:val="16"/>
                <w:highlight w:val="yellow"/>
              </w:rPr>
            </w:pPr>
            <w:r w:rsidRPr="00BB3A12">
              <w:rPr>
                <w:rFonts w:hint="eastAsia"/>
                <w:sz w:val="16"/>
              </w:rPr>
              <w:t>「後発医薬品の生物学的同等性試験ガイドライン」に基づき</w:t>
            </w:r>
            <w:r w:rsidR="00561BCF">
              <w:rPr>
                <w:rFonts w:hint="eastAsia"/>
                <w:sz w:val="16"/>
              </w:rPr>
              <w:t>判定した結果、</w:t>
            </w:r>
            <w:r w:rsidRPr="00BB3A12">
              <w:rPr>
                <w:rFonts w:hint="eastAsia"/>
                <w:sz w:val="16"/>
              </w:rPr>
              <w:t>両製剤の溶出挙動は同等であると</w:t>
            </w:r>
            <w:r w:rsidR="00561BCF">
              <w:rPr>
                <w:rFonts w:hint="eastAsia"/>
                <w:sz w:val="16"/>
              </w:rPr>
              <w:t>判定</w:t>
            </w:r>
            <w:r w:rsidRPr="00BB3A12">
              <w:rPr>
                <w:rFonts w:hint="eastAsia"/>
                <w:sz w:val="16"/>
              </w:rPr>
              <w:t>された。</w:t>
            </w:r>
          </w:p>
        </w:tc>
        <w:tc>
          <w:tcPr>
            <w:tcW w:w="4185" w:type="dxa"/>
            <w:tcMar>
              <w:top w:w="28" w:type="dxa"/>
              <w:bottom w:w="28" w:type="dxa"/>
            </w:tcMar>
          </w:tcPr>
          <w:p w14:paraId="43147D81" w14:textId="77777777" w:rsidR="00CA409E" w:rsidRPr="00BB3A12" w:rsidRDefault="00873433" w:rsidP="00A063F6">
            <w:pPr>
              <w:spacing w:after="60"/>
              <w:rPr>
                <w:rFonts w:ascii="Arial" w:eastAsia="ＭＳ ゴシック" w:hAnsi="Arial"/>
                <w:noProof/>
              </w:rPr>
            </w:pPr>
            <w:r w:rsidRPr="00BB3A12">
              <w:rPr>
                <w:rFonts w:ascii="Arial" w:eastAsia="ＭＳ ゴシック" w:hAnsi="ＭＳ ゴシック" w:hint="eastAsia"/>
                <w:noProof/>
              </w:rPr>
              <w:t>血中濃度</w:t>
            </w:r>
            <w:r w:rsidR="00CA409E" w:rsidRPr="00BB3A12">
              <w:rPr>
                <w:rFonts w:ascii="Arial" w:eastAsia="ＭＳ ゴシック" w:hAnsi="ＭＳ ゴシック" w:hint="eastAsia"/>
                <w:noProof/>
              </w:rPr>
              <w:t>比較試験（ヒト、空腹時）</w:t>
            </w:r>
          </w:p>
          <w:p w14:paraId="041F8BA5" w14:textId="13BEA46D" w:rsidR="00D761B1" w:rsidRPr="00A063F6" w:rsidRDefault="00DE446F" w:rsidP="00A063F6">
            <w:pPr>
              <w:snapToGrid w:val="0"/>
              <w:ind w:leftChars="-51" w:hangingChars="51" w:hanging="98"/>
              <w:rPr>
                <w:rFonts w:ascii="ＭＳ 明朝" w:hAnsi="ＭＳ 明朝"/>
                <w:sz w:val="16"/>
                <w:szCs w:val="16"/>
              </w:rPr>
            </w:pPr>
            <w:r>
              <w:rPr>
                <w:noProof/>
              </w:rPr>
              <w:drawing>
                <wp:inline distT="0" distB="0" distL="0" distR="0" wp14:anchorId="4C4F14C7" wp14:editId="39FF744C">
                  <wp:extent cx="2665730" cy="1722120"/>
                  <wp:effectExtent l="0" t="0" r="1270" b="0"/>
                  <wp:docPr id="5" name="図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93CDAE2" w14:textId="77777777" w:rsidR="00D761B1" w:rsidRPr="00D76875" w:rsidRDefault="00CE7916" w:rsidP="00A063F6">
            <w:pPr>
              <w:snapToGrid w:val="0"/>
              <w:spacing w:before="60"/>
              <w:rPr>
                <w:sz w:val="16"/>
                <w:szCs w:val="16"/>
                <w:highlight w:val="yellow"/>
              </w:rPr>
            </w:pPr>
            <w:r w:rsidRPr="00BB3A12">
              <w:rPr>
                <w:rFonts w:hint="eastAsia"/>
                <w:sz w:val="16"/>
              </w:rPr>
              <w:t>「後発医薬品の生物学的同等性試験ガイドライン」に基づき</w:t>
            </w:r>
            <w:r>
              <w:rPr>
                <w:rFonts w:hint="eastAsia"/>
                <w:sz w:val="16"/>
              </w:rPr>
              <w:t>判定した結果、</w:t>
            </w:r>
            <w:r w:rsidRPr="00BB3A12">
              <w:rPr>
                <w:rFonts w:hint="eastAsia"/>
                <w:sz w:val="16"/>
              </w:rPr>
              <w:t>両製剤</w:t>
            </w:r>
            <w:r>
              <w:rPr>
                <w:rFonts w:hint="eastAsia"/>
                <w:sz w:val="16"/>
              </w:rPr>
              <w:t>は生物学的に同等であると判定された。</w:t>
            </w:r>
          </w:p>
        </w:tc>
      </w:tr>
      <w:tr w:rsidR="00D761B1" w14:paraId="704719EF" w14:textId="77777777" w:rsidTr="0043393A">
        <w:trPr>
          <w:trHeight w:hRule="exact" w:val="312"/>
        </w:trPr>
        <w:tc>
          <w:tcPr>
            <w:tcW w:w="1764" w:type="dxa"/>
            <w:tcBorders>
              <w:bottom w:val="single" w:sz="4" w:space="0" w:color="auto"/>
            </w:tcBorders>
            <w:vAlign w:val="center"/>
          </w:tcPr>
          <w:p w14:paraId="5F4EDCDA" w14:textId="77777777" w:rsidR="00D761B1" w:rsidRPr="008E10C5" w:rsidRDefault="00D761B1" w:rsidP="00B635E5">
            <w:pPr>
              <w:jc w:val="distribute"/>
              <w:rPr>
                <w:rFonts w:ascii="Arial" w:eastAsia="ＭＳ ゴシック" w:hAnsi="Arial"/>
              </w:rPr>
            </w:pPr>
            <w:r w:rsidRPr="008E10C5">
              <w:rPr>
                <w:rFonts w:ascii="Arial" w:eastAsia="ＭＳ ゴシック" w:hAnsi="ＭＳ ゴシック" w:hint="eastAsia"/>
              </w:rPr>
              <w:t>備考</w:t>
            </w:r>
          </w:p>
        </w:tc>
        <w:tc>
          <w:tcPr>
            <w:tcW w:w="8370" w:type="dxa"/>
            <w:gridSpan w:val="2"/>
            <w:tcBorders>
              <w:bottom w:val="single" w:sz="4" w:space="0" w:color="auto"/>
            </w:tcBorders>
            <w:vAlign w:val="center"/>
          </w:tcPr>
          <w:p w14:paraId="6F7B826A" w14:textId="77777777" w:rsidR="00ED6938" w:rsidRPr="00512D05" w:rsidRDefault="00ED6938" w:rsidP="00512D05"/>
        </w:tc>
      </w:tr>
      <w:tr w:rsidR="00D761B1" w14:paraId="2A891762" w14:textId="77777777" w:rsidTr="0043393A">
        <w:trPr>
          <w:trHeight w:hRule="exact" w:val="312"/>
        </w:trPr>
        <w:tc>
          <w:tcPr>
            <w:tcW w:w="1764" w:type="dxa"/>
            <w:vAlign w:val="center"/>
          </w:tcPr>
          <w:p w14:paraId="72BAE8B9" w14:textId="77777777" w:rsidR="00D761B1" w:rsidRPr="008E10C5" w:rsidRDefault="00D761B1" w:rsidP="00B635E5">
            <w:pPr>
              <w:jc w:val="distribute"/>
              <w:rPr>
                <w:rFonts w:ascii="Arial" w:eastAsia="ＭＳ ゴシック" w:hAnsi="Arial"/>
              </w:rPr>
            </w:pPr>
            <w:r w:rsidRPr="008E10C5">
              <w:rPr>
                <w:rFonts w:ascii="Arial" w:eastAsia="ＭＳ ゴシック" w:hAnsi="ＭＳ ゴシック" w:hint="eastAsia"/>
              </w:rPr>
              <w:t>担当者、連絡先</w:t>
            </w:r>
          </w:p>
        </w:tc>
        <w:tc>
          <w:tcPr>
            <w:tcW w:w="8370" w:type="dxa"/>
            <w:gridSpan w:val="2"/>
            <w:vAlign w:val="center"/>
          </w:tcPr>
          <w:p w14:paraId="077EE7A3" w14:textId="77777777" w:rsidR="00D761B1" w:rsidRDefault="00D761B1">
            <w:pPr>
              <w:rPr>
                <w:rFonts w:ascii="ＭＳ ゴシック" w:eastAsia="ＭＳ ゴシック" w:hAnsi="ＭＳ ゴシック"/>
                <w:sz w:val="22"/>
              </w:rPr>
            </w:pPr>
          </w:p>
        </w:tc>
      </w:tr>
    </w:tbl>
    <w:p w14:paraId="6852C2CC" w14:textId="30BC5D67" w:rsidR="00A063F6" w:rsidRPr="00563397" w:rsidRDefault="0047414B" w:rsidP="00A063F6">
      <w:pPr>
        <w:tabs>
          <w:tab w:val="right" w:pos="9865"/>
        </w:tabs>
        <w:jc w:val="right"/>
      </w:pPr>
      <w:r>
        <w:rPr>
          <w:rFonts w:hint="eastAsia"/>
        </w:rPr>
        <w:t>20</w:t>
      </w:r>
      <w:r w:rsidR="008A7FB5">
        <w:t>2</w:t>
      </w:r>
      <w:r w:rsidR="00DE446F">
        <w:t>4</w:t>
      </w:r>
      <w:r w:rsidR="008E4A0D" w:rsidRPr="008E10C5">
        <w:rPr>
          <w:rFonts w:hint="eastAsia"/>
        </w:rPr>
        <w:t>年</w:t>
      </w:r>
      <w:r w:rsidR="0071044B">
        <w:t>4</w:t>
      </w:r>
      <w:r w:rsidR="008E4A0D" w:rsidRPr="008E10C5">
        <w:rPr>
          <w:rFonts w:hint="eastAsia"/>
        </w:rPr>
        <w:t>月</w:t>
      </w:r>
    </w:p>
    <w:sectPr w:rsidR="00A063F6" w:rsidRPr="00563397" w:rsidSect="00911095">
      <w:headerReference w:type="default" r:id="rId12"/>
      <w:pgSz w:w="11906" w:h="16838" w:code="9"/>
      <w:pgMar w:top="709" w:right="737" w:bottom="567" w:left="1021" w:header="567" w:footer="567" w:gutter="0"/>
      <w:cols w:space="708"/>
      <w:docGrid w:type="linesAndChars" w:linePitch="293"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0130E" w14:textId="77777777" w:rsidR="00BD7251" w:rsidRDefault="00BD7251">
      <w:r>
        <w:separator/>
      </w:r>
    </w:p>
  </w:endnote>
  <w:endnote w:type="continuationSeparator" w:id="0">
    <w:p w14:paraId="485367D0" w14:textId="77777777" w:rsidR="00BD7251" w:rsidRDefault="00BD7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10468" w14:textId="77777777" w:rsidR="00BD7251" w:rsidRDefault="00BD7251">
      <w:r>
        <w:separator/>
      </w:r>
    </w:p>
  </w:footnote>
  <w:footnote w:type="continuationSeparator" w:id="0">
    <w:p w14:paraId="38AAA855" w14:textId="77777777" w:rsidR="00BD7251" w:rsidRDefault="00BD7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9D87" w14:textId="77777777" w:rsidR="005D7609" w:rsidRDefault="005D760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815999057">
    <w:abstractNumId w:val="0"/>
  </w:num>
  <w:num w:numId="2" w16cid:durableId="1641960472">
    <w:abstractNumId w:val="3"/>
  </w:num>
  <w:num w:numId="3" w16cid:durableId="318773292">
    <w:abstractNumId w:val="2"/>
  </w:num>
  <w:num w:numId="4" w16cid:durableId="13655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293"/>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3415"/>
    <w:rsid w:val="00007B16"/>
    <w:rsid w:val="00016D81"/>
    <w:rsid w:val="000171CE"/>
    <w:rsid w:val="00020621"/>
    <w:rsid w:val="00023FAF"/>
    <w:rsid w:val="00025725"/>
    <w:rsid w:val="00057369"/>
    <w:rsid w:val="00080A29"/>
    <w:rsid w:val="0008386E"/>
    <w:rsid w:val="000A1539"/>
    <w:rsid w:val="000A6F32"/>
    <w:rsid w:val="000C2A0F"/>
    <w:rsid w:val="000D73D2"/>
    <w:rsid w:val="000F5170"/>
    <w:rsid w:val="000F5171"/>
    <w:rsid w:val="001101EC"/>
    <w:rsid w:val="00111A75"/>
    <w:rsid w:val="001445EF"/>
    <w:rsid w:val="0017756A"/>
    <w:rsid w:val="001C180E"/>
    <w:rsid w:val="001C4883"/>
    <w:rsid w:val="001D6D38"/>
    <w:rsid w:val="001E3EB8"/>
    <w:rsid w:val="002030BF"/>
    <w:rsid w:val="00211A66"/>
    <w:rsid w:val="0021229D"/>
    <w:rsid w:val="00221588"/>
    <w:rsid w:val="00230A92"/>
    <w:rsid w:val="00234A23"/>
    <w:rsid w:val="00242ED4"/>
    <w:rsid w:val="00265C65"/>
    <w:rsid w:val="002A1328"/>
    <w:rsid w:val="002D513A"/>
    <w:rsid w:val="002E0A62"/>
    <w:rsid w:val="002E2174"/>
    <w:rsid w:val="003075C1"/>
    <w:rsid w:val="003207BD"/>
    <w:rsid w:val="003342CD"/>
    <w:rsid w:val="00345875"/>
    <w:rsid w:val="00352154"/>
    <w:rsid w:val="0036458D"/>
    <w:rsid w:val="00374471"/>
    <w:rsid w:val="00393027"/>
    <w:rsid w:val="003971E7"/>
    <w:rsid w:val="003A1A60"/>
    <w:rsid w:val="003A4EA6"/>
    <w:rsid w:val="003E5D38"/>
    <w:rsid w:val="003F779B"/>
    <w:rsid w:val="004040B1"/>
    <w:rsid w:val="0043393A"/>
    <w:rsid w:val="00436A31"/>
    <w:rsid w:val="004419D5"/>
    <w:rsid w:val="004646FC"/>
    <w:rsid w:val="00465655"/>
    <w:rsid w:val="0047414B"/>
    <w:rsid w:val="00486BC2"/>
    <w:rsid w:val="004873F0"/>
    <w:rsid w:val="00492427"/>
    <w:rsid w:val="004931F4"/>
    <w:rsid w:val="00497764"/>
    <w:rsid w:val="004A73B8"/>
    <w:rsid w:val="004B7FCF"/>
    <w:rsid w:val="004C1B40"/>
    <w:rsid w:val="004C6157"/>
    <w:rsid w:val="004C71E3"/>
    <w:rsid w:val="004D6A9C"/>
    <w:rsid w:val="004E320D"/>
    <w:rsid w:val="00512D05"/>
    <w:rsid w:val="0051390E"/>
    <w:rsid w:val="00531D4C"/>
    <w:rsid w:val="0055351A"/>
    <w:rsid w:val="00553B84"/>
    <w:rsid w:val="00555511"/>
    <w:rsid w:val="00561BCF"/>
    <w:rsid w:val="00563397"/>
    <w:rsid w:val="005B1C19"/>
    <w:rsid w:val="005B36CB"/>
    <w:rsid w:val="005C625A"/>
    <w:rsid w:val="005D4795"/>
    <w:rsid w:val="005D7609"/>
    <w:rsid w:val="005D79D4"/>
    <w:rsid w:val="005E1916"/>
    <w:rsid w:val="005E211B"/>
    <w:rsid w:val="00647790"/>
    <w:rsid w:val="00654341"/>
    <w:rsid w:val="00664B67"/>
    <w:rsid w:val="00666AC3"/>
    <w:rsid w:val="0068091E"/>
    <w:rsid w:val="006975A1"/>
    <w:rsid w:val="006C3053"/>
    <w:rsid w:val="006E1DD6"/>
    <w:rsid w:val="006E434A"/>
    <w:rsid w:val="0071044B"/>
    <w:rsid w:val="00713EDA"/>
    <w:rsid w:val="007142DD"/>
    <w:rsid w:val="00714438"/>
    <w:rsid w:val="00715100"/>
    <w:rsid w:val="00716D4A"/>
    <w:rsid w:val="007201AF"/>
    <w:rsid w:val="00743E15"/>
    <w:rsid w:val="007573E5"/>
    <w:rsid w:val="00785C7F"/>
    <w:rsid w:val="007912EA"/>
    <w:rsid w:val="007945A9"/>
    <w:rsid w:val="007A2541"/>
    <w:rsid w:val="007C0A0A"/>
    <w:rsid w:val="007C21C8"/>
    <w:rsid w:val="007C6A60"/>
    <w:rsid w:val="007D08B3"/>
    <w:rsid w:val="008037B6"/>
    <w:rsid w:val="00813F6A"/>
    <w:rsid w:val="0081681E"/>
    <w:rsid w:val="00822FF0"/>
    <w:rsid w:val="008243F0"/>
    <w:rsid w:val="0083391E"/>
    <w:rsid w:val="00844261"/>
    <w:rsid w:val="00857732"/>
    <w:rsid w:val="008608F9"/>
    <w:rsid w:val="00861BF2"/>
    <w:rsid w:val="00866A4E"/>
    <w:rsid w:val="008673EE"/>
    <w:rsid w:val="00873433"/>
    <w:rsid w:val="00876E96"/>
    <w:rsid w:val="00893052"/>
    <w:rsid w:val="00894E33"/>
    <w:rsid w:val="008A00CB"/>
    <w:rsid w:val="008A7FB5"/>
    <w:rsid w:val="008E05D5"/>
    <w:rsid w:val="008E10C5"/>
    <w:rsid w:val="008E1F1D"/>
    <w:rsid w:val="008E4A0D"/>
    <w:rsid w:val="00911095"/>
    <w:rsid w:val="00911CDF"/>
    <w:rsid w:val="00923D8F"/>
    <w:rsid w:val="009370A8"/>
    <w:rsid w:val="0094486A"/>
    <w:rsid w:val="0095009F"/>
    <w:rsid w:val="009545EB"/>
    <w:rsid w:val="00962DEB"/>
    <w:rsid w:val="00963F27"/>
    <w:rsid w:val="009662E1"/>
    <w:rsid w:val="009672AF"/>
    <w:rsid w:val="009672D3"/>
    <w:rsid w:val="0096766E"/>
    <w:rsid w:val="00980D7E"/>
    <w:rsid w:val="00984003"/>
    <w:rsid w:val="009B6565"/>
    <w:rsid w:val="009C1950"/>
    <w:rsid w:val="009C2630"/>
    <w:rsid w:val="009C3C84"/>
    <w:rsid w:val="009D6935"/>
    <w:rsid w:val="009F75D1"/>
    <w:rsid w:val="00A063F6"/>
    <w:rsid w:val="00A10E19"/>
    <w:rsid w:val="00A1673C"/>
    <w:rsid w:val="00A22CBD"/>
    <w:rsid w:val="00A308DD"/>
    <w:rsid w:val="00A44188"/>
    <w:rsid w:val="00A52EB8"/>
    <w:rsid w:val="00A64DF1"/>
    <w:rsid w:val="00A67C29"/>
    <w:rsid w:val="00A7137B"/>
    <w:rsid w:val="00A72886"/>
    <w:rsid w:val="00A9628A"/>
    <w:rsid w:val="00AD060D"/>
    <w:rsid w:val="00B011CA"/>
    <w:rsid w:val="00B016F8"/>
    <w:rsid w:val="00B04B69"/>
    <w:rsid w:val="00B3314B"/>
    <w:rsid w:val="00B51684"/>
    <w:rsid w:val="00B60FE7"/>
    <w:rsid w:val="00B635E5"/>
    <w:rsid w:val="00B73290"/>
    <w:rsid w:val="00B744F9"/>
    <w:rsid w:val="00B751A7"/>
    <w:rsid w:val="00B760F5"/>
    <w:rsid w:val="00B8056F"/>
    <w:rsid w:val="00BA1E29"/>
    <w:rsid w:val="00BA418B"/>
    <w:rsid w:val="00BB3A12"/>
    <w:rsid w:val="00BC012E"/>
    <w:rsid w:val="00BC07F9"/>
    <w:rsid w:val="00BC5A3D"/>
    <w:rsid w:val="00BC77A3"/>
    <w:rsid w:val="00BD15DE"/>
    <w:rsid w:val="00BD7251"/>
    <w:rsid w:val="00BD798D"/>
    <w:rsid w:val="00BE570C"/>
    <w:rsid w:val="00BF50BB"/>
    <w:rsid w:val="00C25FEC"/>
    <w:rsid w:val="00C30210"/>
    <w:rsid w:val="00C30388"/>
    <w:rsid w:val="00C33DBB"/>
    <w:rsid w:val="00C37A37"/>
    <w:rsid w:val="00C42CAD"/>
    <w:rsid w:val="00C44F81"/>
    <w:rsid w:val="00C4572A"/>
    <w:rsid w:val="00C54D0B"/>
    <w:rsid w:val="00C55AA3"/>
    <w:rsid w:val="00C56D97"/>
    <w:rsid w:val="00C712A0"/>
    <w:rsid w:val="00C838C1"/>
    <w:rsid w:val="00CA409E"/>
    <w:rsid w:val="00CA4239"/>
    <w:rsid w:val="00CA69C1"/>
    <w:rsid w:val="00CA75D4"/>
    <w:rsid w:val="00CB31D6"/>
    <w:rsid w:val="00CB7F28"/>
    <w:rsid w:val="00CC5333"/>
    <w:rsid w:val="00CC5608"/>
    <w:rsid w:val="00CE7916"/>
    <w:rsid w:val="00CF470F"/>
    <w:rsid w:val="00D00814"/>
    <w:rsid w:val="00D26A6C"/>
    <w:rsid w:val="00D31A67"/>
    <w:rsid w:val="00D362E1"/>
    <w:rsid w:val="00D4450A"/>
    <w:rsid w:val="00D761B1"/>
    <w:rsid w:val="00D7648B"/>
    <w:rsid w:val="00D76875"/>
    <w:rsid w:val="00D76ABD"/>
    <w:rsid w:val="00D83512"/>
    <w:rsid w:val="00D8557C"/>
    <w:rsid w:val="00D86599"/>
    <w:rsid w:val="00D87620"/>
    <w:rsid w:val="00D96E98"/>
    <w:rsid w:val="00DA0680"/>
    <w:rsid w:val="00DA30A1"/>
    <w:rsid w:val="00DB2610"/>
    <w:rsid w:val="00DC63E9"/>
    <w:rsid w:val="00DD034D"/>
    <w:rsid w:val="00DD4331"/>
    <w:rsid w:val="00DE20A3"/>
    <w:rsid w:val="00DE446F"/>
    <w:rsid w:val="00DF0188"/>
    <w:rsid w:val="00DF6E6F"/>
    <w:rsid w:val="00E02453"/>
    <w:rsid w:val="00E116EE"/>
    <w:rsid w:val="00E14864"/>
    <w:rsid w:val="00E16902"/>
    <w:rsid w:val="00E3460C"/>
    <w:rsid w:val="00E436DD"/>
    <w:rsid w:val="00E44DBD"/>
    <w:rsid w:val="00E6091D"/>
    <w:rsid w:val="00E8785B"/>
    <w:rsid w:val="00EA5A3F"/>
    <w:rsid w:val="00EA6CF0"/>
    <w:rsid w:val="00ED4290"/>
    <w:rsid w:val="00ED432F"/>
    <w:rsid w:val="00ED6938"/>
    <w:rsid w:val="00EE5D5B"/>
    <w:rsid w:val="00F12F9C"/>
    <w:rsid w:val="00F27507"/>
    <w:rsid w:val="00F339F9"/>
    <w:rsid w:val="00F619EE"/>
    <w:rsid w:val="00F74CE2"/>
    <w:rsid w:val="00F81049"/>
    <w:rsid w:val="00FA1BA6"/>
    <w:rsid w:val="00FA6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0FE7C14B"/>
  <w15:chartTrackingRefBased/>
  <w15:docId w15:val="{105B36DB-89B9-4085-93D9-9BDF1BF8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10C5"/>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alloon Text"/>
    <w:basedOn w:val="a"/>
    <w:semiHidden/>
    <w:rsid w:val="00486BC2"/>
    <w:rPr>
      <w:rFonts w:ascii="Arial" w:eastAsia="ＭＳ ゴシック" w:hAnsi="Arial"/>
      <w:sz w:val="18"/>
      <w:szCs w:val="18"/>
    </w:rPr>
  </w:style>
  <w:style w:type="paragraph" w:styleId="a8">
    <w:name w:val="Date"/>
    <w:basedOn w:val="a"/>
    <w:next w:val="a"/>
    <w:rsid w:val="00563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D:\Users\nakamgr3\Desktop\&#29694;&#22312;&#36914;&#34892;&#20013;\2013&#27096;&#24335;&#12408;&#12398;&#35352;&#36617;&#22793;&#26356;\&#12486;&#12523;&#12499;&#12490;&#12501;&#12451;&#12531;\&#12450;&#12512;&#12525;&#12472;&#12500;&#12531;&#37664;&#34880;&#20013;&#28611;&#24230;&#26354;&#32218;NEW.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600" b="0"/>
            </a:pPr>
            <a:r>
              <a:rPr lang="en-US" altLang="ja-JP" sz="600" b="0">
                <a:latin typeface="Century" pitchFamily="18" charset="0"/>
              </a:rPr>
              <a:t>(ng/mL)</a:t>
            </a:r>
            <a:endParaRPr lang="ja-JP" altLang="en-US" sz="600" b="0">
              <a:latin typeface="Century" pitchFamily="18" charset="0"/>
            </a:endParaRPr>
          </a:p>
        </c:rich>
      </c:tx>
      <c:layout>
        <c:manualLayout>
          <c:xMode val="edge"/>
          <c:yMode val="edge"/>
          <c:x val="8.4777863132962039E-2"/>
          <c:y val="2.1241438937779834E-2"/>
        </c:manualLayout>
      </c:layout>
      <c:overlay val="0"/>
    </c:title>
    <c:autoTitleDeleted val="0"/>
    <c:plotArea>
      <c:layout>
        <c:manualLayout>
          <c:layoutTarget val="inner"/>
          <c:xMode val="edge"/>
          <c:yMode val="edge"/>
          <c:x val="0.12694933097065225"/>
          <c:y val="9.4538930919305528E-2"/>
          <c:w val="0.83769676703297746"/>
          <c:h val="0.75188593954701555"/>
        </c:manualLayout>
      </c:layout>
      <c:scatterChart>
        <c:scatterStyle val="lineMarker"/>
        <c:varyColors val="0"/>
        <c:ser>
          <c:idx val="0"/>
          <c:order val="0"/>
          <c:tx>
            <c:strRef>
              <c:f>テルビナフィン錠125mg「サンド」血中濃度!$A$3</c:f>
              <c:strCache>
                <c:ptCount val="1"/>
                <c:pt idx="0">
                  <c:v>テルビナフィン錠125mg「サンド」</c:v>
                </c:pt>
              </c:strCache>
            </c:strRef>
          </c:tx>
          <c:spPr>
            <a:ln w="12700">
              <a:solidFill>
                <a:srgbClr val="000000"/>
              </a:solidFill>
            </a:ln>
          </c:spPr>
          <c:marker>
            <c:symbol val="circle"/>
            <c:size val="5"/>
            <c:spPr>
              <a:solidFill>
                <a:schemeClr val="tx1"/>
              </a:solidFill>
              <a:ln>
                <a:solidFill>
                  <a:srgbClr val="000000"/>
                </a:solidFill>
              </a:ln>
            </c:spPr>
          </c:marker>
          <c:errBars>
            <c:errDir val="y"/>
            <c:errBarType val="both"/>
            <c:errValType val="cust"/>
            <c:noEndCap val="0"/>
            <c:plus>
              <c:numRef>
                <c:f>テルビナフィン錠125mg「サンド」血中濃度!$B$7:$N$7</c:f>
                <c:numCache>
                  <c:formatCode>General</c:formatCode>
                  <c:ptCount val="13"/>
                  <c:pt idx="0">
                    <c:v>0</c:v>
                  </c:pt>
                  <c:pt idx="4">
                    <c:v>143.88999999999999</c:v>
                  </c:pt>
                  <c:pt idx="5">
                    <c:v>106.15</c:v>
                  </c:pt>
                  <c:pt idx="6">
                    <c:v>74.680000000000007</c:v>
                  </c:pt>
                  <c:pt idx="7">
                    <c:v>18.149999999999999</c:v>
                  </c:pt>
                </c:numCache>
              </c:numRef>
            </c:plus>
            <c:minus>
              <c:numRef>
                <c:f>テルビナフィン錠125mg「サンド」血中濃度!$B$8:$N$8</c:f>
                <c:numCache>
                  <c:formatCode>General</c:formatCode>
                  <c:ptCount val="13"/>
                  <c:pt idx="0">
                    <c:v>0</c:v>
                  </c:pt>
                  <c:pt idx="1">
                    <c:v>74.58</c:v>
                  </c:pt>
                  <c:pt idx="2">
                    <c:v>199.18</c:v>
                  </c:pt>
                  <c:pt idx="3">
                    <c:v>180.58</c:v>
                  </c:pt>
                  <c:pt idx="8">
                    <c:v>13.54</c:v>
                  </c:pt>
                  <c:pt idx="9">
                    <c:v>0</c:v>
                  </c:pt>
                </c:numCache>
              </c:numRef>
            </c:minus>
            <c:spPr>
              <a:ln w="3175">
                <a:solidFill>
                  <a:srgbClr val="000000"/>
                </a:solidFill>
                <a:prstDash val="solid"/>
              </a:ln>
            </c:spPr>
          </c:errBars>
          <c:xVal>
            <c:numRef>
              <c:f>テルビナフィン錠125mg「サンド」血中濃度!$B$2:$N$2</c:f>
              <c:numCache>
                <c:formatCode>General</c:formatCode>
                <c:ptCount val="13"/>
                <c:pt idx="0">
                  <c:v>0</c:v>
                </c:pt>
                <c:pt idx="1">
                  <c:v>0.5</c:v>
                </c:pt>
                <c:pt idx="2">
                  <c:v>1</c:v>
                </c:pt>
                <c:pt idx="3">
                  <c:v>1.5</c:v>
                </c:pt>
                <c:pt idx="4">
                  <c:v>2</c:v>
                </c:pt>
                <c:pt idx="5">
                  <c:v>3</c:v>
                </c:pt>
                <c:pt idx="6">
                  <c:v>4</c:v>
                </c:pt>
                <c:pt idx="7">
                  <c:v>8</c:v>
                </c:pt>
                <c:pt idx="8">
                  <c:v>12</c:v>
                </c:pt>
                <c:pt idx="9">
                  <c:v>24</c:v>
                </c:pt>
              </c:numCache>
            </c:numRef>
          </c:xVal>
          <c:yVal>
            <c:numRef>
              <c:f>テルビナフィン錠125mg「サンド」血中濃度!$B$3:$N$3</c:f>
              <c:numCache>
                <c:formatCode>General</c:formatCode>
                <c:ptCount val="13"/>
                <c:pt idx="0">
                  <c:v>0</c:v>
                </c:pt>
                <c:pt idx="1">
                  <c:v>106.99</c:v>
                </c:pt>
                <c:pt idx="2">
                  <c:v>388.12</c:v>
                </c:pt>
                <c:pt idx="3">
                  <c:v>422.63</c:v>
                </c:pt>
                <c:pt idx="4">
                  <c:v>383.34</c:v>
                </c:pt>
                <c:pt idx="5">
                  <c:v>243.03</c:v>
                </c:pt>
                <c:pt idx="6">
                  <c:v>163.05000000000001</c:v>
                </c:pt>
                <c:pt idx="7">
                  <c:v>35.869999999999997</c:v>
                </c:pt>
                <c:pt idx="8">
                  <c:v>9.42</c:v>
                </c:pt>
                <c:pt idx="9">
                  <c:v>0</c:v>
                </c:pt>
              </c:numCache>
            </c:numRef>
          </c:yVal>
          <c:smooth val="0"/>
          <c:extLst>
            <c:ext xmlns:c16="http://schemas.microsoft.com/office/drawing/2014/chart" uri="{C3380CC4-5D6E-409C-BE32-E72D297353CC}">
              <c16:uniqueId val="{00000000-191C-493A-8946-ED0D90440413}"/>
            </c:ext>
          </c:extLst>
        </c:ser>
        <c:ser>
          <c:idx val="1"/>
          <c:order val="1"/>
          <c:tx>
            <c:strRef>
              <c:f>テルビナフィン錠125mg「サンド」血中濃度!$A$4</c:f>
              <c:strCache>
                <c:ptCount val="1"/>
                <c:pt idx="0">
                  <c:v>標準製剤（錠剤、125mg）</c:v>
                </c:pt>
              </c:strCache>
            </c:strRef>
          </c:tx>
          <c:spPr>
            <a:ln w="12700" cmpd="sng">
              <a:solidFill>
                <a:srgbClr val="000000"/>
              </a:solidFill>
              <a:prstDash val="sysDash"/>
            </a:ln>
          </c:spPr>
          <c:marker>
            <c:symbol val="circle"/>
            <c:size val="5"/>
            <c:spPr>
              <a:solidFill>
                <a:srgbClr val="FFFFFF"/>
              </a:solidFill>
              <a:ln>
                <a:solidFill>
                  <a:srgbClr val="000000"/>
                </a:solidFill>
              </a:ln>
            </c:spPr>
          </c:marker>
          <c:errBars>
            <c:errDir val="y"/>
            <c:errBarType val="both"/>
            <c:errValType val="cust"/>
            <c:noEndCap val="0"/>
            <c:plus>
              <c:numRef>
                <c:f>テルビナフィン錠125mg「サンド」血中濃度!$B$10:$N$10</c:f>
                <c:numCache>
                  <c:formatCode>General</c:formatCode>
                  <c:ptCount val="13"/>
                  <c:pt idx="0">
                    <c:v>0</c:v>
                  </c:pt>
                  <c:pt idx="1">
                    <c:v>80.319999999999993</c:v>
                  </c:pt>
                  <c:pt idx="2">
                    <c:v>144.19999999999999</c:v>
                  </c:pt>
                  <c:pt idx="3">
                    <c:v>159.07</c:v>
                  </c:pt>
                  <c:pt idx="8">
                    <c:v>15.08</c:v>
                  </c:pt>
                  <c:pt idx="9">
                    <c:v>4.62</c:v>
                  </c:pt>
                </c:numCache>
              </c:numRef>
            </c:plus>
            <c:minus>
              <c:numRef>
                <c:f>テルビナフィン錠125mg「サンド」血中濃度!$B$11:$N$11</c:f>
                <c:numCache>
                  <c:formatCode>General</c:formatCode>
                  <c:ptCount val="13"/>
                  <c:pt idx="0">
                    <c:v>0</c:v>
                  </c:pt>
                  <c:pt idx="4">
                    <c:v>140.87</c:v>
                  </c:pt>
                  <c:pt idx="5">
                    <c:v>103.19</c:v>
                  </c:pt>
                  <c:pt idx="6">
                    <c:v>71.650000000000006</c:v>
                  </c:pt>
                  <c:pt idx="7">
                    <c:v>23.19</c:v>
                  </c:pt>
                </c:numCache>
              </c:numRef>
            </c:minus>
            <c:spPr>
              <a:ln w="3175">
                <a:solidFill>
                  <a:srgbClr val="000000"/>
                </a:solidFill>
                <a:prstDash val="solid"/>
              </a:ln>
            </c:spPr>
          </c:errBars>
          <c:xVal>
            <c:numRef>
              <c:f>テルビナフィン錠125mg「サンド」血中濃度!$B$2:$N$2</c:f>
              <c:numCache>
                <c:formatCode>General</c:formatCode>
                <c:ptCount val="13"/>
                <c:pt idx="0">
                  <c:v>0</c:v>
                </c:pt>
                <c:pt idx="1">
                  <c:v>0.5</c:v>
                </c:pt>
                <c:pt idx="2">
                  <c:v>1</c:v>
                </c:pt>
                <c:pt idx="3">
                  <c:v>1.5</c:v>
                </c:pt>
                <c:pt idx="4">
                  <c:v>2</c:v>
                </c:pt>
                <c:pt idx="5">
                  <c:v>3</c:v>
                </c:pt>
                <c:pt idx="6">
                  <c:v>4</c:v>
                </c:pt>
                <c:pt idx="7">
                  <c:v>8</c:v>
                </c:pt>
                <c:pt idx="8">
                  <c:v>12</c:v>
                </c:pt>
                <c:pt idx="9">
                  <c:v>24</c:v>
                </c:pt>
              </c:numCache>
            </c:numRef>
          </c:xVal>
          <c:yVal>
            <c:numRef>
              <c:f>テルビナフィン錠125mg「サンド」血中濃度!$B$4:$N$4</c:f>
              <c:numCache>
                <c:formatCode>General</c:formatCode>
                <c:ptCount val="13"/>
                <c:pt idx="0">
                  <c:v>0</c:v>
                </c:pt>
                <c:pt idx="1">
                  <c:v>141.69</c:v>
                </c:pt>
                <c:pt idx="2">
                  <c:v>422.12</c:v>
                </c:pt>
                <c:pt idx="3">
                  <c:v>432.67</c:v>
                </c:pt>
                <c:pt idx="4">
                  <c:v>377.18</c:v>
                </c:pt>
                <c:pt idx="5">
                  <c:v>236.14</c:v>
                </c:pt>
                <c:pt idx="6">
                  <c:v>152.49</c:v>
                </c:pt>
                <c:pt idx="7">
                  <c:v>33.65</c:v>
                </c:pt>
                <c:pt idx="8">
                  <c:v>11.57</c:v>
                </c:pt>
                <c:pt idx="9">
                  <c:v>1.03</c:v>
                </c:pt>
              </c:numCache>
            </c:numRef>
          </c:yVal>
          <c:smooth val="0"/>
          <c:extLst>
            <c:ext xmlns:c16="http://schemas.microsoft.com/office/drawing/2014/chart" uri="{C3380CC4-5D6E-409C-BE32-E72D297353CC}">
              <c16:uniqueId val="{00000001-191C-493A-8946-ED0D90440413}"/>
            </c:ext>
          </c:extLst>
        </c:ser>
        <c:ser>
          <c:idx val="2"/>
          <c:order val="2"/>
          <c:tx>
            <c:strRef>
              <c:f>テルビナフィン錠125mg「サンド」血中濃度!$A$5</c:f>
              <c:strCache>
                <c:ptCount val="1"/>
                <c:pt idx="0">
                  <c:v> (Mean±S.D., n=20)</c:v>
                </c:pt>
              </c:strCache>
            </c:strRef>
          </c:tx>
          <c:spPr>
            <a:ln>
              <a:noFill/>
            </a:ln>
          </c:spPr>
          <c:marker>
            <c:symbol val="none"/>
          </c:marker>
          <c:xVal>
            <c:numRef>
              <c:f>テルビナフィン錠125mg「サンド」血中濃度!$B$2:$K$2</c:f>
              <c:numCache>
                <c:formatCode>General</c:formatCode>
                <c:ptCount val="10"/>
                <c:pt idx="0">
                  <c:v>0</c:v>
                </c:pt>
                <c:pt idx="1">
                  <c:v>0.5</c:v>
                </c:pt>
                <c:pt idx="2">
                  <c:v>1</c:v>
                </c:pt>
                <c:pt idx="3">
                  <c:v>1.5</c:v>
                </c:pt>
                <c:pt idx="4">
                  <c:v>2</c:v>
                </c:pt>
                <c:pt idx="5">
                  <c:v>3</c:v>
                </c:pt>
                <c:pt idx="6">
                  <c:v>4</c:v>
                </c:pt>
                <c:pt idx="7">
                  <c:v>8</c:v>
                </c:pt>
                <c:pt idx="8">
                  <c:v>12</c:v>
                </c:pt>
                <c:pt idx="9">
                  <c:v>24</c:v>
                </c:pt>
              </c:numCache>
            </c:numRef>
          </c:xVal>
          <c:yVal>
            <c:numRef>
              <c:f>テルビナフィン錠125mg「サンド」血中濃度!$B$5:$K$5</c:f>
              <c:numCache>
                <c:formatCode>General</c:formatCode>
                <c:ptCount val="10"/>
                <c:pt idx="0">
                  <c:v>0</c:v>
                </c:pt>
                <c:pt idx="1">
                  <c:v>0</c:v>
                </c:pt>
                <c:pt idx="2">
                  <c:v>0</c:v>
                </c:pt>
                <c:pt idx="3">
                  <c:v>0</c:v>
                </c:pt>
                <c:pt idx="4">
                  <c:v>0</c:v>
                </c:pt>
                <c:pt idx="5">
                  <c:v>0</c:v>
                </c:pt>
                <c:pt idx="6">
                  <c:v>0</c:v>
                </c:pt>
                <c:pt idx="7">
                  <c:v>0</c:v>
                </c:pt>
                <c:pt idx="8">
                  <c:v>0</c:v>
                </c:pt>
                <c:pt idx="9">
                  <c:v>0</c:v>
                </c:pt>
              </c:numCache>
            </c:numRef>
          </c:yVal>
          <c:smooth val="0"/>
          <c:extLst>
            <c:ext xmlns:c16="http://schemas.microsoft.com/office/drawing/2014/chart" uri="{C3380CC4-5D6E-409C-BE32-E72D297353CC}">
              <c16:uniqueId val="{00000002-191C-493A-8946-ED0D90440413}"/>
            </c:ext>
          </c:extLst>
        </c:ser>
        <c:dLbls>
          <c:showLegendKey val="0"/>
          <c:showVal val="0"/>
          <c:showCatName val="0"/>
          <c:showSerName val="0"/>
          <c:showPercent val="0"/>
          <c:showBubbleSize val="0"/>
        </c:dLbls>
        <c:axId val="191223296"/>
        <c:axId val="202039296"/>
      </c:scatterChart>
      <c:valAx>
        <c:axId val="191223296"/>
        <c:scaling>
          <c:orientation val="minMax"/>
          <c:max val="24"/>
          <c:min val="0"/>
        </c:scaling>
        <c:delete val="0"/>
        <c:axPos val="b"/>
        <c:title>
          <c:tx>
            <c:rich>
              <a:bodyPr/>
              <a:lstStyle/>
              <a:p>
                <a:pPr>
                  <a:defRPr sz="600" b="0">
                    <a:latin typeface="ＭＳ 明朝" pitchFamily="17" charset="-128"/>
                    <a:ea typeface="ＭＳ 明朝" pitchFamily="17" charset="-128"/>
                  </a:defRPr>
                </a:pPr>
                <a:r>
                  <a:rPr lang="ja-JP" altLang="en-US" sz="600" b="0">
                    <a:latin typeface="ＭＳ 明朝" pitchFamily="17" charset="-128"/>
                    <a:ea typeface="ＭＳ 明朝" pitchFamily="17" charset="-128"/>
                  </a:rPr>
                  <a:t>投与後時間（</a:t>
                </a:r>
                <a:r>
                  <a:rPr lang="en-US" altLang="ja-JP" sz="600" b="0">
                    <a:latin typeface="Century" pitchFamily="18" charset="0"/>
                    <a:ea typeface="ＭＳ 明朝" pitchFamily="17" charset="-128"/>
                  </a:rPr>
                  <a:t>hr</a:t>
                </a:r>
                <a:r>
                  <a:rPr lang="ja-JP" altLang="en-US" sz="600" b="0">
                    <a:latin typeface="ＭＳ 明朝" pitchFamily="17" charset="-128"/>
                    <a:ea typeface="ＭＳ 明朝" pitchFamily="17" charset="-128"/>
                  </a:rPr>
                  <a:t>）</a:t>
                </a:r>
              </a:p>
            </c:rich>
          </c:tx>
          <c:layout>
            <c:manualLayout>
              <c:xMode val="edge"/>
              <c:yMode val="edge"/>
              <c:x val="0.45071538313808335"/>
              <c:y val="0.9183308321753898"/>
            </c:manualLayout>
          </c:layout>
          <c:overlay val="0"/>
        </c:title>
        <c:numFmt formatCode="General" sourceLinked="1"/>
        <c:majorTickMark val="in"/>
        <c:minorTickMark val="none"/>
        <c:tickLblPos val="nextTo"/>
        <c:spPr>
          <a:ln w="9525">
            <a:solidFill>
              <a:sysClr val="windowText" lastClr="000000"/>
            </a:solidFill>
          </a:ln>
        </c:spPr>
        <c:txPr>
          <a:bodyPr rot="0" vert="horz"/>
          <a:lstStyle/>
          <a:p>
            <a:pPr>
              <a:defRPr sz="600" b="0" i="0" u="none" strike="noStrike" baseline="0">
                <a:solidFill>
                  <a:srgbClr val="000000"/>
                </a:solidFill>
                <a:latin typeface="ＭＳ Ｐゴシック"/>
                <a:ea typeface="ＭＳ Ｐゴシック"/>
                <a:cs typeface="ＭＳ Ｐゴシック"/>
              </a:defRPr>
            </a:pPr>
            <a:endParaRPr lang="ja-JP"/>
          </a:p>
        </c:txPr>
        <c:crossAx val="202039296"/>
        <c:crosses val="autoZero"/>
        <c:crossBetween val="midCat"/>
        <c:majorUnit val="6"/>
      </c:valAx>
      <c:valAx>
        <c:axId val="202039296"/>
        <c:scaling>
          <c:orientation val="minMax"/>
          <c:max val="600"/>
          <c:min val="0"/>
        </c:scaling>
        <c:delete val="0"/>
        <c:axPos val="l"/>
        <c:title>
          <c:tx>
            <c:rich>
              <a:bodyPr rot="0" vert="eaVert"/>
              <a:lstStyle/>
              <a:p>
                <a:pPr>
                  <a:defRPr sz="600" b="0">
                    <a:latin typeface="ＭＳ 明朝" pitchFamily="17" charset="-128"/>
                    <a:ea typeface="ＭＳ 明朝" pitchFamily="17" charset="-128"/>
                  </a:defRPr>
                </a:pPr>
                <a:r>
                  <a:rPr lang="ja-JP" altLang="en-US" sz="600" b="0">
                    <a:latin typeface="ＭＳ 明朝" pitchFamily="17" charset="-128"/>
                    <a:ea typeface="ＭＳ 明朝" pitchFamily="17" charset="-128"/>
                  </a:rPr>
                  <a:t>血漿中濃度</a:t>
                </a:r>
              </a:p>
            </c:rich>
          </c:tx>
          <c:layout>
            <c:manualLayout>
              <c:xMode val="edge"/>
              <c:yMode val="edge"/>
              <c:x val="1.0351449971192626E-3"/>
              <c:y val="0.33534339972209354"/>
            </c:manualLayout>
          </c:layout>
          <c:overlay val="0"/>
          <c:spPr>
            <a:noFill/>
            <a:ln>
              <a:noFill/>
            </a:ln>
          </c:spPr>
        </c:title>
        <c:numFmt formatCode="General" sourceLinked="1"/>
        <c:majorTickMark val="in"/>
        <c:minorTickMark val="none"/>
        <c:tickLblPos val="nextTo"/>
        <c:spPr>
          <a:noFill/>
          <a:ln w="9525">
            <a:solidFill>
              <a:srgbClr val="000000"/>
            </a:solidFill>
          </a:ln>
        </c:spPr>
        <c:txPr>
          <a:bodyPr/>
          <a:lstStyle/>
          <a:p>
            <a:pPr>
              <a:defRPr sz="600">
                <a:latin typeface="ＭＳ Ｐゴシック" pitchFamily="50" charset="-128"/>
                <a:ea typeface="ＭＳ Ｐゴシック" pitchFamily="50" charset="-128"/>
              </a:defRPr>
            </a:pPr>
            <a:endParaRPr lang="ja-JP"/>
          </a:p>
        </c:txPr>
        <c:crossAx val="191223296"/>
        <c:crosses val="autoZero"/>
        <c:crossBetween val="midCat"/>
        <c:majorUnit val="100"/>
      </c:valAx>
    </c:plotArea>
    <c:legend>
      <c:legendPos val="r"/>
      <c:legendEntry>
        <c:idx val="0"/>
        <c:txPr>
          <a:bodyPr/>
          <a:lstStyle/>
          <a:p>
            <a:pPr>
              <a:defRPr sz="600">
                <a:latin typeface="Century" panose="02040604050505020304" pitchFamily="18" charset="0"/>
                <a:ea typeface="ＭＳ 明朝" panose="02020609040205080304" pitchFamily="17" charset="-128"/>
              </a:defRPr>
            </a:pPr>
            <a:endParaRPr lang="ja-JP"/>
          </a:p>
        </c:txPr>
      </c:legendEntry>
      <c:legendEntry>
        <c:idx val="1"/>
        <c:txPr>
          <a:bodyPr/>
          <a:lstStyle/>
          <a:p>
            <a:pPr>
              <a:defRPr sz="600">
                <a:latin typeface="Century" panose="02040604050505020304" pitchFamily="18" charset="0"/>
                <a:ea typeface="ＭＳ 明朝" panose="02020609040205080304" pitchFamily="17" charset="-128"/>
              </a:defRPr>
            </a:pPr>
            <a:endParaRPr lang="ja-JP"/>
          </a:p>
        </c:txPr>
      </c:legendEntry>
      <c:legendEntry>
        <c:idx val="2"/>
        <c:txPr>
          <a:bodyPr/>
          <a:lstStyle/>
          <a:p>
            <a:pPr>
              <a:defRPr sz="600">
                <a:latin typeface="Century" panose="02040604050505020304" pitchFamily="18" charset="0"/>
                <a:ea typeface="ＭＳ 明朝" panose="02020609040205080304" pitchFamily="17" charset="-128"/>
              </a:defRPr>
            </a:pPr>
            <a:endParaRPr lang="ja-JP"/>
          </a:p>
        </c:txPr>
      </c:legendEntry>
      <c:layout>
        <c:manualLayout>
          <c:xMode val="edge"/>
          <c:yMode val="edge"/>
          <c:x val="0.3700779898939503"/>
          <c:y val="0.17902485718696928"/>
          <c:w val="0.6250820600736009"/>
          <c:h val="0.20892116720704032"/>
        </c:manualLayout>
      </c:layout>
      <c:overlay val="0"/>
      <c:txPr>
        <a:bodyPr/>
        <a:lstStyle/>
        <a:p>
          <a:pPr>
            <a:defRPr sz="600">
              <a:latin typeface="Century" panose="02040604050505020304" pitchFamily="18" charset="0"/>
              <a:ea typeface="ＭＳ 明朝" panose="02020609040205080304" pitchFamily="17" charset="-128"/>
            </a:defRPr>
          </a:pPr>
          <a:endParaRPr lang="ja-JP"/>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832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KITAMURA TOSHINARI / 北村 俊成</cp:lastModifiedBy>
  <cp:revision>2</cp:revision>
  <cp:lastPrinted>2013-10-31T00:13:00Z</cp:lastPrinted>
  <dcterms:created xsi:type="dcterms:W3CDTF">2024-03-21T08:18:00Z</dcterms:created>
  <dcterms:modified xsi:type="dcterms:W3CDTF">2024-03-21T08:18:00Z</dcterms:modified>
</cp:coreProperties>
</file>