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7370" w14:textId="77777777" w:rsidR="008E4A0D" w:rsidRPr="008910C9" w:rsidRDefault="008E4A0D" w:rsidP="008910C9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8910C9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8910C9">
        <w:rPr>
          <w:rFonts w:ascii="Arial" w:eastAsia="ＭＳ ゴシック" w:hAnsi="Arial" w:hint="eastAsia"/>
          <w:sz w:val="24"/>
        </w:rPr>
        <w:t>（</w:t>
      </w:r>
      <w:r w:rsidRPr="008910C9">
        <w:rPr>
          <w:rFonts w:ascii="Arial" w:eastAsia="ＭＳ ゴシック" w:hAnsi="ＭＳ ゴシック" w:hint="eastAsia"/>
          <w:sz w:val="24"/>
        </w:rPr>
        <w:t>案</w:t>
      </w:r>
      <w:r w:rsidR="008910C9">
        <w:rPr>
          <w:rFonts w:ascii="Arial" w:eastAsia="ＭＳ ゴシック" w:hAnsi="Arial" w:hint="eastAsia"/>
          <w:sz w:val="24"/>
        </w:rPr>
        <w:t>）</w:t>
      </w:r>
    </w:p>
    <w:tbl>
      <w:tblPr>
        <w:tblW w:w="101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4169"/>
        <w:gridCol w:w="4169"/>
      </w:tblGrid>
      <w:tr w:rsidR="008E4A0D" w14:paraId="271E3E72" w14:textId="77777777" w:rsidTr="007F708B">
        <w:trPr>
          <w:trHeight w:hRule="exact" w:val="284"/>
        </w:trPr>
        <w:tc>
          <w:tcPr>
            <w:tcW w:w="1772" w:type="dxa"/>
          </w:tcPr>
          <w:p w14:paraId="61097F67" w14:textId="77777777" w:rsidR="008E4A0D" w:rsidRDefault="008E4A0D" w:rsidP="008910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9" w:type="dxa"/>
            <w:vAlign w:val="center"/>
          </w:tcPr>
          <w:p w14:paraId="44698BF4" w14:textId="77777777" w:rsidR="008E4A0D" w:rsidRPr="008910C9" w:rsidRDefault="008E4A0D" w:rsidP="008910C9">
            <w:pPr>
              <w:jc w:val="center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69" w:type="dxa"/>
            <w:vAlign w:val="center"/>
          </w:tcPr>
          <w:p w14:paraId="202ADAF2" w14:textId="77777777" w:rsidR="008E4A0D" w:rsidRPr="008910C9" w:rsidRDefault="008E4A0D" w:rsidP="008910C9">
            <w:pPr>
              <w:jc w:val="center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7A7BC07" w14:textId="77777777" w:rsidTr="007F708B">
        <w:trPr>
          <w:trHeight w:hRule="exact" w:val="284"/>
        </w:trPr>
        <w:tc>
          <w:tcPr>
            <w:tcW w:w="1772" w:type="dxa"/>
            <w:vAlign w:val="center"/>
          </w:tcPr>
          <w:p w14:paraId="4E4E6EA9" w14:textId="77777777" w:rsidR="00B016F8" w:rsidRPr="008910C9" w:rsidRDefault="00B016F8" w:rsidP="00A07FAC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69" w:type="dxa"/>
            <w:vAlign w:val="center"/>
          </w:tcPr>
          <w:p w14:paraId="31F81BAB" w14:textId="77777777" w:rsidR="00B016F8" w:rsidRPr="008910C9" w:rsidRDefault="00B016F8" w:rsidP="008910C9">
            <w:pPr>
              <w:jc w:val="center"/>
              <w:rPr>
                <w:szCs w:val="20"/>
              </w:rPr>
            </w:pPr>
            <w:r w:rsidRPr="008910C9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69" w:type="dxa"/>
            <w:vAlign w:val="center"/>
          </w:tcPr>
          <w:p w14:paraId="164A3389" w14:textId="77777777" w:rsidR="00B016F8" w:rsidRPr="00B016F8" w:rsidRDefault="00B016F8" w:rsidP="008910C9">
            <w:pPr>
              <w:jc w:val="center"/>
              <w:rPr>
                <w:szCs w:val="20"/>
              </w:rPr>
            </w:pPr>
          </w:p>
        </w:tc>
      </w:tr>
      <w:tr w:rsidR="00B016F8" w14:paraId="38AB6981" w14:textId="77777777" w:rsidTr="007F708B">
        <w:trPr>
          <w:trHeight w:hRule="exact" w:val="284"/>
        </w:trPr>
        <w:tc>
          <w:tcPr>
            <w:tcW w:w="1772" w:type="dxa"/>
            <w:vAlign w:val="center"/>
          </w:tcPr>
          <w:p w14:paraId="38E5274B" w14:textId="77777777" w:rsidR="00B016F8" w:rsidRPr="008910C9" w:rsidRDefault="00A31AA7" w:rsidP="00A07FAC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8910C9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69" w:type="dxa"/>
            <w:vAlign w:val="center"/>
          </w:tcPr>
          <w:p w14:paraId="4A213E6A" w14:textId="77777777" w:rsidR="00B016F8" w:rsidRPr="008910C9" w:rsidRDefault="00D76ABD" w:rsidP="008910C9">
            <w:pPr>
              <w:ind w:firstLine="36"/>
              <w:jc w:val="center"/>
              <w:rPr>
                <w:rFonts w:ascii="Arial" w:eastAsia="ＭＳ ゴシック" w:hAnsi="Arial"/>
                <w:vertAlign w:val="subscript"/>
              </w:rPr>
            </w:pPr>
            <w:r w:rsidRPr="008910C9">
              <w:rPr>
                <w:rFonts w:ascii="Arial" w:eastAsia="ＭＳ ゴシック" w:hAnsi="ＭＳ ゴシック" w:hint="eastAsia"/>
              </w:rPr>
              <w:t>ファモチジン錠</w:t>
            </w:r>
            <w:r w:rsidRPr="008910C9">
              <w:rPr>
                <w:rFonts w:ascii="Arial" w:eastAsia="ＭＳ ゴシック" w:hAnsi="Arial" w:hint="eastAsia"/>
              </w:rPr>
              <w:t>10mg</w:t>
            </w:r>
            <w:r w:rsidRPr="008910C9">
              <w:rPr>
                <w:rFonts w:ascii="Arial" w:eastAsia="ＭＳ ゴシック" w:hAnsi="ＭＳ ゴシック" w:hint="eastAsia"/>
              </w:rPr>
              <w:t>「</w:t>
            </w:r>
            <w:r w:rsidRPr="008910C9">
              <w:rPr>
                <w:rFonts w:ascii="Arial" w:eastAsia="ＭＳ ゴシック" w:hAnsi="Arial" w:hint="eastAsia"/>
              </w:rPr>
              <w:t>YD</w:t>
            </w:r>
            <w:r w:rsidRPr="008910C9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69" w:type="dxa"/>
            <w:vAlign w:val="center"/>
          </w:tcPr>
          <w:p w14:paraId="78643DFF" w14:textId="17FFB48D" w:rsidR="00B016F8" w:rsidRPr="00B42E4C" w:rsidRDefault="00B42E4C" w:rsidP="008910C9">
            <w:pPr>
              <w:jc w:val="center"/>
              <w:rPr>
                <w:rFonts w:ascii="Arial" w:eastAsia="ＭＳ ゴシック" w:hAnsi="Arial" w:cs="Arial"/>
              </w:rPr>
            </w:pPr>
            <w:r w:rsidRPr="00B42E4C">
              <w:rPr>
                <w:rFonts w:ascii="Arial" w:eastAsia="ＭＳ ゴシック" w:hAnsi="Arial" w:cs="Arial" w:hint="eastAsia"/>
              </w:rPr>
              <w:t>ガスタ－錠</w:t>
            </w:r>
            <w:r w:rsidRPr="00B42E4C">
              <w:rPr>
                <w:rFonts w:ascii="Arial" w:eastAsia="ＭＳ ゴシック" w:hAnsi="Arial" w:cs="Arial" w:hint="eastAsia"/>
              </w:rPr>
              <w:t>10mg</w:t>
            </w:r>
          </w:p>
        </w:tc>
      </w:tr>
      <w:tr w:rsidR="00B61B98" w14:paraId="3D3994D3" w14:textId="77777777" w:rsidTr="007F708B">
        <w:trPr>
          <w:trHeight w:hRule="exact" w:val="284"/>
        </w:trPr>
        <w:tc>
          <w:tcPr>
            <w:tcW w:w="1772" w:type="dxa"/>
            <w:vAlign w:val="center"/>
          </w:tcPr>
          <w:p w14:paraId="22FB5C19" w14:textId="77777777" w:rsidR="00B61B98" w:rsidRPr="008910C9" w:rsidRDefault="00B61B98" w:rsidP="00B61B98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69" w:type="dxa"/>
            <w:vAlign w:val="center"/>
          </w:tcPr>
          <w:p w14:paraId="2008E395" w14:textId="77777777" w:rsidR="00B61B98" w:rsidRPr="00046295" w:rsidRDefault="00F61B6D" w:rsidP="00B61B9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0.10</w:t>
            </w:r>
            <w:r w:rsidR="00B61B98" w:rsidRPr="00977F01">
              <w:rPr>
                <w:szCs w:val="20"/>
              </w:rPr>
              <w:t>円</w:t>
            </w:r>
          </w:p>
        </w:tc>
        <w:tc>
          <w:tcPr>
            <w:tcW w:w="4169" w:type="dxa"/>
            <w:vAlign w:val="center"/>
          </w:tcPr>
          <w:p w14:paraId="100F7CF6" w14:textId="62F0365C" w:rsidR="00B61B98" w:rsidRPr="00046295" w:rsidRDefault="00B42E4C" w:rsidP="00B61B9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13.70</w:t>
            </w:r>
            <w:r w:rsidR="00B61B98" w:rsidRPr="00977F01">
              <w:rPr>
                <w:szCs w:val="20"/>
              </w:rPr>
              <w:t>円</w:t>
            </w:r>
          </w:p>
        </w:tc>
      </w:tr>
      <w:tr w:rsidR="00B61B98" w14:paraId="206E88D1" w14:textId="77777777" w:rsidTr="00C14E55">
        <w:trPr>
          <w:trHeight w:hRule="exact" w:val="284"/>
        </w:trPr>
        <w:tc>
          <w:tcPr>
            <w:tcW w:w="1772" w:type="dxa"/>
            <w:vAlign w:val="center"/>
          </w:tcPr>
          <w:p w14:paraId="4C3E3E8F" w14:textId="77777777" w:rsidR="00B61B98" w:rsidRPr="008910C9" w:rsidRDefault="00B61B98" w:rsidP="00B61B98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38" w:type="dxa"/>
            <w:gridSpan w:val="2"/>
            <w:vAlign w:val="center"/>
          </w:tcPr>
          <w:p w14:paraId="0AF2D1FD" w14:textId="77777777" w:rsidR="00B61B98" w:rsidRPr="00876E96" w:rsidRDefault="00B61B98" w:rsidP="00B61B9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Pr="008910C9">
              <w:rPr>
                <w:rFonts w:ascii="Arial" w:eastAsia="ＭＳ ゴシック" w:hAnsi="Arial" w:hint="eastAsia"/>
              </w:rPr>
              <w:t>ファモチジン</w:t>
            </w:r>
            <w:r w:rsidRPr="003E55EE">
              <w:rPr>
                <w:rFonts w:ascii="ＭＳ ゴシック" w:eastAsia="ＭＳ ゴシック" w:hAnsi="ＭＳ ゴシック" w:hint="eastAsia"/>
              </w:rPr>
              <w:t>（日局）</w:t>
            </w:r>
            <w:r w:rsidRPr="00D37916">
              <w:rPr>
                <w:rFonts w:hint="eastAsia"/>
              </w:rPr>
              <w:t>10mg</w:t>
            </w:r>
            <w:r w:rsidRPr="00D37916">
              <w:rPr>
                <w:rFonts w:hint="eastAsia"/>
              </w:rPr>
              <w:t>を含</w:t>
            </w:r>
            <w:r w:rsidRPr="00876E96">
              <w:rPr>
                <w:rFonts w:hint="eastAsia"/>
              </w:rPr>
              <w:t>有</w:t>
            </w:r>
          </w:p>
        </w:tc>
      </w:tr>
      <w:tr w:rsidR="00A31AA7" w14:paraId="2A1990D0" w14:textId="77777777" w:rsidTr="00046295">
        <w:tc>
          <w:tcPr>
            <w:tcW w:w="1772" w:type="dxa"/>
            <w:vAlign w:val="center"/>
          </w:tcPr>
          <w:p w14:paraId="4FE7B950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7BD1100" w14:textId="77777777" w:rsidR="00A31AA7" w:rsidRPr="00D76ABD" w:rsidRDefault="00A31AA7" w:rsidP="00A31AA7">
            <w:pPr>
              <w:spacing w:line="220" w:lineRule="exact"/>
              <w:rPr>
                <w:szCs w:val="20"/>
              </w:rPr>
            </w:pPr>
            <w:r w:rsidRPr="00D76ABD">
              <w:rPr>
                <w:rFonts w:hint="eastAsia"/>
                <w:szCs w:val="20"/>
              </w:rPr>
              <w:t>乳糖水和物、リン酸水素</w:t>
            </w:r>
            <w:r w:rsidRPr="00D76ABD">
              <w:rPr>
                <w:rFonts w:hint="eastAsia"/>
                <w:szCs w:val="20"/>
              </w:rPr>
              <w:t>Ca</w:t>
            </w:r>
            <w:r w:rsidRPr="00D76ABD">
              <w:rPr>
                <w:rFonts w:hint="eastAsia"/>
                <w:szCs w:val="20"/>
              </w:rPr>
              <w:t>、セルロース、ヒドロキシプロピルセルロース、無水ケイ酸、ステアリン酸</w:t>
            </w:r>
            <w:r w:rsidRPr="00D76ABD">
              <w:rPr>
                <w:rFonts w:hint="eastAsia"/>
                <w:szCs w:val="20"/>
              </w:rPr>
              <w:t>Mg</w:t>
            </w:r>
            <w:r w:rsidRPr="00D76ABD">
              <w:rPr>
                <w:rFonts w:hint="eastAsia"/>
                <w:szCs w:val="20"/>
              </w:rPr>
              <w:t>、タルク、酸化チタン</w:t>
            </w:r>
          </w:p>
        </w:tc>
        <w:tc>
          <w:tcPr>
            <w:tcW w:w="4169" w:type="dxa"/>
            <w:tcBorders>
              <w:lef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14:paraId="7B41E5CB" w14:textId="77777777" w:rsidR="00A31AA7" w:rsidRPr="00D76ABD" w:rsidRDefault="00A31AA7" w:rsidP="00A31AA7">
            <w:pPr>
              <w:spacing w:line="220" w:lineRule="exact"/>
              <w:rPr>
                <w:szCs w:val="20"/>
              </w:rPr>
            </w:pPr>
            <w:r w:rsidRPr="00D76ABD">
              <w:rPr>
                <w:rFonts w:hint="eastAsia"/>
                <w:szCs w:val="20"/>
              </w:rPr>
              <w:t>無水リン酸水素カルシウム、結晶セルロース、乳糖水和物、ヒドロキシプロピルセルロース、トウモロコシデンプン、軽質無水ケイ酸、ステアリン酸カルシウム、低置換度ヒドロキシプロピルセルロース、白糖、乳酸カルシウム水和物、マクロゴール、酸化チタン、タルク、カルナウバロウ</w:t>
            </w:r>
          </w:p>
        </w:tc>
      </w:tr>
      <w:tr w:rsidR="00A31AA7" w14:paraId="438FCD64" w14:textId="77777777" w:rsidTr="00C14E55">
        <w:trPr>
          <w:trHeight w:hRule="exact" w:val="284"/>
        </w:trPr>
        <w:tc>
          <w:tcPr>
            <w:tcW w:w="1772" w:type="dxa"/>
            <w:vAlign w:val="center"/>
          </w:tcPr>
          <w:p w14:paraId="31D53CFA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38" w:type="dxa"/>
            <w:gridSpan w:val="2"/>
            <w:vAlign w:val="center"/>
          </w:tcPr>
          <w:p w14:paraId="5C910C40" w14:textId="77777777" w:rsidR="00A31AA7" w:rsidRPr="00D87620" w:rsidRDefault="00A31AA7" w:rsidP="00A31A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H</w:t>
            </w:r>
            <w:r w:rsidRPr="002E0A62">
              <w:rPr>
                <w:rFonts w:hint="eastAsia"/>
                <w:szCs w:val="20"/>
                <w:vertAlign w:val="subscript"/>
              </w:rPr>
              <w:t>2</w:t>
            </w:r>
            <w:r>
              <w:rPr>
                <w:rFonts w:hint="eastAsia"/>
                <w:szCs w:val="20"/>
              </w:rPr>
              <w:t>受容体拮抗剤</w:t>
            </w:r>
          </w:p>
        </w:tc>
      </w:tr>
      <w:tr w:rsidR="00A31AA7" w14:paraId="509B2CD0" w14:textId="77777777" w:rsidTr="00046295">
        <w:trPr>
          <w:trHeight w:val="395"/>
        </w:trPr>
        <w:tc>
          <w:tcPr>
            <w:tcW w:w="1772" w:type="dxa"/>
            <w:vAlign w:val="center"/>
          </w:tcPr>
          <w:p w14:paraId="7EC73C82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C69367F" w14:textId="77777777" w:rsidR="00A31AA7" w:rsidRPr="008673EE" w:rsidRDefault="00A31AA7" w:rsidP="00A31AA7">
            <w:pPr>
              <w:numPr>
                <w:ilvl w:val="0"/>
                <w:numId w:val="5"/>
              </w:numPr>
              <w:spacing w:line="220" w:lineRule="exact"/>
              <w:ind w:left="341" w:hanging="34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胃潰瘍、十二指腸潰瘍、吻合部潰瘍、上部消化管出血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消化性潰瘍、急性ストレス潰瘍、出血性胃炎による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、逆流性食道炎、</w:t>
            </w:r>
            <w:r w:rsidRPr="008673EE">
              <w:rPr>
                <w:rFonts w:hint="eastAsia"/>
                <w:szCs w:val="20"/>
              </w:rPr>
              <w:t>Zollinger-Ellison</w:t>
            </w:r>
            <w:r w:rsidRPr="008673EE">
              <w:rPr>
                <w:rFonts w:hint="eastAsia"/>
                <w:szCs w:val="20"/>
              </w:rPr>
              <w:t>症候群</w:t>
            </w:r>
          </w:p>
          <w:p w14:paraId="2B5C75F0" w14:textId="77777777" w:rsidR="00A31AA7" w:rsidRPr="008673EE" w:rsidRDefault="00A31AA7" w:rsidP="00A31AA7">
            <w:pPr>
              <w:numPr>
                <w:ilvl w:val="0"/>
                <w:numId w:val="5"/>
              </w:numPr>
              <w:spacing w:line="220" w:lineRule="exact"/>
              <w:ind w:left="341" w:hanging="34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下記疾患の胃粘膜病変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びらん、出血、発赤、浮腫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の改善</w:t>
            </w:r>
          </w:p>
          <w:p w14:paraId="15253CD3" w14:textId="77777777" w:rsidR="00A31AA7" w:rsidRPr="008673EE" w:rsidRDefault="00A31AA7" w:rsidP="00A31AA7">
            <w:pPr>
              <w:spacing w:line="220" w:lineRule="exact"/>
              <w:ind w:left="199" w:firstLineChars="74" w:firstLine="142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急性胃炎、慢性胃炎の急性増悪期</w:t>
            </w:r>
          </w:p>
        </w:tc>
      </w:tr>
      <w:tr w:rsidR="00A31AA7" w14:paraId="4984170E" w14:textId="77777777" w:rsidTr="00046295">
        <w:trPr>
          <w:trHeight w:val="450"/>
        </w:trPr>
        <w:tc>
          <w:tcPr>
            <w:tcW w:w="1772" w:type="dxa"/>
            <w:vAlign w:val="center"/>
          </w:tcPr>
          <w:p w14:paraId="6C13104F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38" w:type="dxa"/>
            <w:gridSpan w:val="2"/>
            <w:tcMar>
              <w:top w:w="28" w:type="dxa"/>
              <w:bottom w:w="28" w:type="dxa"/>
            </w:tcMar>
            <w:vAlign w:val="center"/>
          </w:tcPr>
          <w:p w14:paraId="3265A45B" w14:textId="77777777" w:rsidR="00A31AA7" w:rsidRPr="008910C9" w:rsidRDefault="00A31AA7" w:rsidP="00A31AA7">
            <w:pPr>
              <w:spacing w:line="220" w:lineRule="exact"/>
              <w:rPr>
                <w:rFonts w:ascii="Arial" w:eastAsia="ＭＳ ゴシック" w:hAnsi="Arial"/>
                <w:szCs w:val="20"/>
              </w:rPr>
            </w:pPr>
            <w:r w:rsidRPr="008910C9">
              <w:rPr>
                <w:rFonts w:ascii="Arial" w:eastAsia="ＭＳ ゴシック" w:hint="eastAsia"/>
                <w:szCs w:val="20"/>
              </w:rPr>
              <w:t>胃潰瘍、十二指腸潰瘍、吻合部潰瘍、上部消化管出血</w:t>
            </w:r>
            <w:r>
              <w:rPr>
                <w:rFonts w:ascii="Arial" w:eastAsia="ＭＳ ゴシック" w:hAnsi="Arial" w:hint="eastAsia"/>
                <w:szCs w:val="20"/>
              </w:rPr>
              <w:t>（</w:t>
            </w:r>
            <w:r w:rsidRPr="008910C9">
              <w:rPr>
                <w:rFonts w:ascii="Arial" w:eastAsia="ＭＳ ゴシック" w:hint="eastAsia"/>
                <w:szCs w:val="20"/>
              </w:rPr>
              <w:t>消化性潰瘍、急性ストレス潰瘍、出血性胃炎による</w:t>
            </w:r>
            <w:r>
              <w:rPr>
                <w:rFonts w:ascii="Arial" w:eastAsia="ＭＳ ゴシック" w:hAnsi="Arial" w:hint="eastAsia"/>
                <w:szCs w:val="20"/>
              </w:rPr>
              <w:t>）</w:t>
            </w:r>
            <w:r w:rsidRPr="008910C9">
              <w:rPr>
                <w:rFonts w:ascii="Arial" w:eastAsia="ＭＳ ゴシック" w:hint="eastAsia"/>
                <w:szCs w:val="20"/>
              </w:rPr>
              <w:t>、逆流性食道炎、</w:t>
            </w:r>
            <w:r w:rsidRPr="00A85301">
              <w:rPr>
                <w:rFonts w:ascii="Arial" w:eastAsia="ＭＳ ゴシック" w:hAnsi="Arial" w:cs="Arial"/>
                <w:szCs w:val="20"/>
              </w:rPr>
              <w:t>Zollinger-Ellison</w:t>
            </w:r>
            <w:r w:rsidRPr="008910C9">
              <w:rPr>
                <w:rFonts w:ascii="Arial" w:eastAsia="ＭＳ ゴシック" w:hint="eastAsia"/>
                <w:szCs w:val="20"/>
              </w:rPr>
              <w:t>症候群</w:t>
            </w:r>
          </w:p>
          <w:p w14:paraId="005F0211" w14:textId="77777777" w:rsidR="00A31AA7" w:rsidRPr="008673EE" w:rsidRDefault="00A31AA7" w:rsidP="00A31AA7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通常成人にはファモチジンとして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 w:rsidRPr="008673EE">
              <w:rPr>
                <w:rFonts w:hint="eastAsia"/>
                <w:szCs w:val="20"/>
              </w:rPr>
              <w:t>20mg</w:t>
            </w:r>
            <w:r w:rsidRPr="008673EE">
              <w:rPr>
                <w:rFonts w:hint="eastAsia"/>
                <w:szCs w:val="20"/>
              </w:rPr>
              <w:t>を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日</w:t>
            </w:r>
            <w:r w:rsidRPr="008673EE">
              <w:rPr>
                <w:rFonts w:hint="eastAsia"/>
                <w:szCs w:val="20"/>
              </w:rPr>
              <w:t>2</w:t>
            </w:r>
            <w:r w:rsidRPr="008673EE">
              <w:rPr>
                <w:rFonts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朝食後、夕食後</w:t>
            </w:r>
            <w:r>
              <w:rPr>
                <w:rFonts w:hint="eastAsia"/>
                <w:szCs w:val="20"/>
              </w:rPr>
              <w:t>又</w:t>
            </w:r>
            <w:r w:rsidRPr="008673EE">
              <w:rPr>
                <w:rFonts w:hint="eastAsia"/>
                <w:szCs w:val="20"/>
              </w:rPr>
              <w:t>は就寝前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経口投与する。また、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 w:rsidRPr="008673EE">
              <w:rPr>
                <w:rFonts w:hint="eastAsia"/>
                <w:szCs w:val="20"/>
              </w:rPr>
              <w:t>40mg</w:t>
            </w:r>
            <w:r w:rsidRPr="008673EE">
              <w:rPr>
                <w:rFonts w:hint="eastAsia"/>
                <w:szCs w:val="20"/>
              </w:rPr>
              <w:t>を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日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就寝前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経口投与することもできる。</w:t>
            </w:r>
          </w:p>
          <w:p w14:paraId="57DEF2D5" w14:textId="77777777" w:rsidR="00A31AA7" w:rsidRPr="008673EE" w:rsidRDefault="00A31AA7" w:rsidP="00A31AA7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なお、年齢・症状により適宜増減する。ただし、上部消化管出血の場合には通常注射剤で治療を開始し、内服可能になった後は経口投与に切りかえる。</w:t>
            </w:r>
          </w:p>
          <w:p w14:paraId="1F16B91D" w14:textId="77777777" w:rsidR="00A31AA7" w:rsidRPr="008910C9" w:rsidRDefault="00A31AA7" w:rsidP="00A31AA7">
            <w:pPr>
              <w:spacing w:line="220" w:lineRule="exact"/>
              <w:rPr>
                <w:rFonts w:ascii="Arial" w:eastAsia="ＭＳ ゴシック" w:hAnsi="Arial"/>
                <w:szCs w:val="20"/>
              </w:rPr>
            </w:pPr>
            <w:r w:rsidRPr="008910C9">
              <w:rPr>
                <w:rFonts w:ascii="Arial" w:eastAsia="ＭＳ ゴシック" w:hint="eastAsia"/>
                <w:szCs w:val="20"/>
              </w:rPr>
              <w:t>下記疾患の胃粘膜病変</w:t>
            </w:r>
            <w:r>
              <w:rPr>
                <w:rFonts w:ascii="Arial" w:eastAsia="ＭＳ ゴシック" w:hAnsi="Arial" w:hint="eastAsia"/>
                <w:szCs w:val="20"/>
              </w:rPr>
              <w:t>（</w:t>
            </w:r>
            <w:r w:rsidRPr="008910C9">
              <w:rPr>
                <w:rFonts w:ascii="Arial" w:eastAsia="ＭＳ ゴシック" w:hint="eastAsia"/>
                <w:szCs w:val="20"/>
              </w:rPr>
              <w:t>びらん、出血、発赤、浮腫</w:t>
            </w:r>
            <w:r>
              <w:rPr>
                <w:rFonts w:ascii="Arial" w:eastAsia="ＭＳ ゴシック" w:hAnsi="Arial" w:hint="eastAsia"/>
                <w:szCs w:val="20"/>
              </w:rPr>
              <w:t>）</w:t>
            </w:r>
            <w:r w:rsidRPr="008910C9">
              <w:rPr>
                <w:rFonts w:ascii="Arial" w:eastAsia="ＭＳ ゴシック" w:hint="eastAsia"/>
                <w:szCs w:val="20"/>
              </w:rPr>
              <w:t>の改善</w:t>
            </w:r>
          </w:p>
          <w:p w14:paraId="45C84655" w14:textId="77777777" w:rsidR="00A31AA7" w:rsidRPr="008910C9" w:rsidRDefault="00A31AA7" w:rsidP="00A31AA7">
            <w:pPr>
              <w:spacing w:line="220" w:lineRule="exact"/>
              <w:rPr>
                <w:rFonts w:ascii="Arial" w:eastAsia="ＭＳ ゴシック" w:hAnsi="Arial"/>
                <w:szCs w:val="20"/>
              </w:rPr>
            </w:pPr>
            <w:r w:rsidRPr="008910C9">
              <w:rPr>
                <w:rFonts w:ascii="Arial" w:eastAsia="ＭＳ ゴシック" w:hint="eastAsia"/>
                <w:szCs w:val="20"/>
              </w:rPr>
              <w:t>急性胃炎、慢性胃炎の急性増悪期</w:t>
            </w:r>
          </w:p>
          <w:p w14:paraId="2F3EF895" w14:textId="77777777" w:rsidR="00A31AA7" w:rsidRPr="008673EE" w:rsidRDefault="00A31AA7" w:rsidP="00A31AA7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通常成人にはファモチジンとして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 w:rsidRPr="008673EE">
              <w:rPr>
                <w:rFonts w:hint="eastAsia"/>
                <w:szCs w:val="20"/>
              </w:rPr>
              <w:t>10mg</w:t>
            </w:r>
            <w:r w:rsidRPr="008673EE">
              <w:rPr>
                <w:rFonts w:hint="eastAsia"/>
                <w:szCs w:val="20"/>
              </w:rPr>
              <w:t>を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日</w:t>
            </w:r>
            <w:r w:rsidRPr="008673EE">
              <w:rPr>
                <w:rFonts w:hint="eastAsia"/>
                <w:szCs w:val="20"/>
              </w:rPr>
              <w:t>2</w:t>
            </w:r>
            <w:r w:rsidRPr="008673EE">
              <w:rPr>
                <w:rFonts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朝食後、夕食後</w:t>
            </w:r>
            <w:r>
              <w:rPr>
                <w:rFonts w:hint="eastAsia"/>
                <w:szCs w:val="20"/>
              </w:rPr>
              <w:t>又</w:t>
            </w:r>
            <w:r w:rsidRPr="008673EE">
              <w:rPr>
                <w:rFonts w:hint="eastAsia"/>
                <w:szCs w:val="20"/>
              </w:rPr>
              <w:t>は就寝前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経口投与する。また、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 w:rsidRPr="008673EE">
              <w:rPr>
                <w:rFonts w:hint="eastAsia"/>
                <w:szCs w:val="20"/>
              </w:rPr>
              <w:t>20mg</w:t>
            </w:r>
            <w:r w:rsidRPr="008673EE">
              <w:rPr>
                <w:rFonts w:hint="eastAsia"/>
                <w:szCs w:val="20"/>
              </w:rPr>
              <w:t>を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日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就寝前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経口投与することもできる。</w:t>
            </w:r>
          </w:p>
          <w:p w14:paraId="1DD32D78" w14:textId="77777777" w:rsidR="00A31AA7" w:rsidRPr="008673EE" w:rsidRDefault="00A31AA7" w:rsidP="00A31AA7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なお、年齢・症状により適宜増減する。</w:t>
            </w:r>
          </w:p>
        </w:tc>
      </w:tr>
      <w:tr w:rsidR="00A31AA7" w14:paraId="5265A377" w14:textId="77777777" w:rsidTr="007F708B"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6B755258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14:paraId="0EE4E725" w14:textId="77777777" w:rsidR="00A31AA7" w:rsidRDefault="00A31AA7" w:rsidP="00A31A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Pr="00857732">
              <w:rPr>
                <w:rFonts w:hint="eastAsia"/>
                <w:szCs w:val="20"/>
              </w:rPr>
              <w:t>色の</w:t>
            </w:r>
            <w:r>
              <w:rPr>
                <w:rFonts w:hint="eastAsia"/>
                <w:szCs w:val="20"/>
              </w:rPr>
              <w:t>フィルムコーティング</w:t>
            </w:r>
            <w:r w:rsidRPr="00857732">
              <w:rPr>
                <w:rFonts w:hint="eastAsia"/>
                <w:szCs w:val="20"/>
              </w:rPr>
              <w:t>錠</w:t>
            </w:r>
          </w:p>
          <w:tbl>
            <w:tblPr>
              <w:tblW w:w="4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8"/>
              <w:gridCol w:w="859"/>
              <w:gridCol w:w="859"/>
              <w:gridCol w:w="1489"/>
            </w:tblGrid>
            <w:tr w:rsidR="00A31AA7" w:rsidRPr="00E053D3" w14:paraId="5E2491F5" w14:textId="77777777" w:rsidTr="001D0F9D">
              <w:tc>
                <w:tcPr>
                  <w:tcW w:w="85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E841C94" w14:textId="77777777" w:rsidR="00A31AA7" w:rsidRPr="003E55EE" w:rsidRDefault="00A31AA7" w:rsidP="00A31AA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E55E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494510" w14:textId="77777777" w:rsidR="00A31AA7" w:rsidRPr="003E55EE" w:rsidRDefault="00A31AA7" w:rsidP="00A31AA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E55E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EB54D8" w14:textId="77777777" w:rsidR="00A31AA7" w:rsidRPr="003E55EE" w:rsidRDefault="00A31AA7" w:rsidP="00A31AA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E55E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89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5522E119" w14:textId="77777777" w:rsidR="00A31AA7" w:rsidRPr="00E053D3" w:rsidRDefault="00A31AA7" w:rsidP="00A31AA7">
                  <w:pPr>
                    <w:rPr>
                      <w:szCs w:val="20"/>
                    </w:rPr>
                  </w:pPr>
                  <w:r w:rsidRPr="00E053D3">
                    <w:rPr>
                      <w:rFonts w:hint="eastAsia"/>
                      <w:szCs w:val="20"/>
                    </w:rPr>
                    <w:t>直径：約</w:t>
                  </w:r>
                  <w:r w:rsidRPr="00E053D3">
                    <w:rPr>
                      <w:rFonts w:hint="eastAsia"/>
                      <w:szCs w:val="20"/>
                    </w:rPr>
                    <w:t>7.6mm</w:t>
                  </w:r>
                  <w:r w:rsidRPr="00E053D3">
                    <w:rPr>
                      <w:rFonts w:hint="eastAsia"/>
                      <w:szCs w:val="20"/>
                    </w:rPr>
                    <w:t xml:space="preserve">　厚さ：約</w:t>
                  </w:r>
                  <w:r w:rsidRPr="00E053D3">
                    <w:rPr>
                      <w:rFonts w:hint="eastAsia"/>
                      <w:szCs w:val="20"/>
                    </w:rPr>
                    <w:t>3.7mm</w:t>
                  </w:r>
                </w:p>
                <w:p w14:paraId="36225506" w14:textId="77777777" w:rsidR="00A31AA7" w:rsidRPr="00E053D3" w:rsidRDefault="00A31AA7" w:rsidP="00A31AA7">
                  <w:pPr>
                    <w:rPr>
                      <w:szCs w:val="20"/>
                    </w:rPr>
                  </w:pPr>
                  <w:r w:rsidRPr="00E053D3">
                    <w:rPr>
                      <w:rFonts w:hint="eastAsia"/>
                      <w:szCs w:val="20"/>
                    </w:rPr>
                    <w:t>重量：</w:t>
                  </w:r>
                  <w:r w:rsidRPr="00E053D3">
                    <w:rPr>
                      <w:rFonts w:hint="eastAsia"/>
                      <w:szCs w:val="20"/>
                    </w:rPr>
                    <w:t>160mg</w:t>
                  </w:r>
                  <w:r w:rsidRPr="00E053D3">
                    <w:rPr>
                      <w:rFonts w:hint="eastAsia"/>
                      <w:szCs w:val="20"/>
                    </w:rPr>
                    <w:t xml:space="preserve">　</w:t>
                  </w:r>
                </w:p>
              </w:tc>
            </w:tr>
            <w:tr w:rsidR="00A31AA7" w:rsidRPr="00E053D3" w14:paraId="49A30A4F" w14:textId="77777777" w:rsidTr="001D0F9D">
              <w:trPr>
                <w:trHeight w:hRule="exact" w:val="896"/>
              </w:trPr>
              <w:tc>
                <w:tcPr>
                  <w:tcW w:w="85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00487C" w14:textId="63D3A8D2" w:rsidR="00A31AA7" w:rsidRPr="0072395D" w:rsidRDefault="00B42E4C" w:rsidP="00A31AA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B9F0AA" wp14:editId="683F6A08">
                        <wp:extent cx="514350" cy="533400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30" r="14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E986C6" w14:textId="3633144B" w:rsidR="00A31AA7" w:rsidRPr="0072395D" w:rsidRDefault="00B42E4C" w:rsidP="00A31AA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D529B47" wp14:editId="7DE0DAB4">
                        <wp:extent cx="514350" cy="53340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30" r="14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6E44FF2" w14:textId="1EF99D67" w:rsidR="00A31AA7" w:rsidRPr="0072395D" w:rsidRDefault="00B42E4C" w:rsidP="00A31AA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51BAD64" wp14:editId="19103CCF">
                        <wp:extent cx="514350" cy="314325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9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FDBADB0" w14:textId="77777777" w:rsidR="00A31AA7" w:rsidRDefault="00A31AA7" w:rsidP="00A31AA7">
                  <w:pPr>
                    <w:jc w:val="center"/>
                  </w:pPr>
                </w:p>
              </w:tc>
            </w:tr>
          </w:tbl>
          <w:p w14:paraId="0ECF5C95" w14:textId="77777777" w:rsidR="00A31AA7" w:rsidRPr="00866A4E" w:rsidRDefault="00A31AA7" w:rsidP="00A31AA7">
            <w:pPr>
              <w:spacing w:beforeLines="25" w:before="74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YD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640</w:t>
            </w: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14:paraId="441F787A" w14:textId="77777777" w:rsidR="00A31AA7" w:rsidRPr="008673EE" w:rsidRDefault="00A31AA7" w:rsidP="00A31AA7">
            <w:pPr>
              <w:widowControl w:val="0"/>
              <w:adjustRightInd w:val="0"/>
              <w:rPr>
                <w:rFonts w:ascii="RyuminPro-Regular" w:eastAsia="RyuminPro-Regular" w:cs="RyuminPro-Regular"/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Pr="00857732">
              <w:rPr>
                <w:rFonts w:hint="eastAsia"/>
                <w:szCs w:val="20"/>
              </w:rPr>
              <w:t>色</w:t>
            </w:r>
            <w:r w:rsidRPr="00EE5D5B">
              <w:rPr>
                <w:rFonts w:hint="eastAsia"/>
                <w:szCs w:val="20"/>
              </w:rPr>
              <w:t>～</w:t>
            </w:r>
            <w:r w:rsidRPr="00EE5D5B">
              <w:rPr>
                <w:rFonts w:ascii="RyuminPro-Regular" w:cs="RyuminPro-Regular" w:hint="eastAsia"/>
                <w:szCs w:val="20"/>
              </w:rPr>
              <w:t>微黄白色</w:t>
            </w:r>
            <w:r w:rsidRPr="00857732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糖衣</w:t>
            </w:r>
            <w:r w:rsidRPr="00857732">
              <w:rPr>
                <w:rFonts w:hint="eastAsia"/>
                <w:szCs w:val="20"/>
              </w:rPr>
              <w:t>錠</w:t>
            </w:r>
          </w:p>
          <w:p w14:paraId="065DAA94" w14:textId="77777777" w:rsidR="00A31AA7" w:rsidRPr="00C44F81" w:rsidRDefault="00A31AA7" w:rsidP="00A31AA7">
            <w:pPr>
              <w:tabs>
                <w:tab w:val="left" w:pos="882"/>
              </w:tabs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7.1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3.6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140mg</w:t>
            </w:r>
            <w:r w:rsidRPr="008910C9">
              <w:rPr>
                <w:szCs w:val="20"/>
              </w:rPr>
              <w:br/>
            </w:r>
          </w:p>
        </w:tc>
      </w:tr>
      <w:tr w:rsidR="00A31AA7" w14:paraId="35448121" w14:textId="77777777" w:rsidTr="007F708B">
        <w:trPr>
          <w:trHeight w:val="3160"/>
        </w:trPr>
        <w:tc>
          <w:tcPr>
            <w:tcW w:w="1772" w:type="dxa"/>
            <w:vAlign w:val="center"/>
          </w:tcPr>
          <w:p w14:paraId="349F0C6C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先発品との</w:t>
            </w:r>
          </w:p>
          <w:p w14:paraId="54AC661F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8910C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69" w:type="dxa"/>
          </w:tcPr>
          <w:p w14:paraId="74D699C3" w14:textId="77777777" w:rsidR="00A31AA7" w:rsidRDefault="00A31AA7" w:rsidP="00A31AA7">
            <w:pPr>
              <w:widowControl w:val="0"/>
              <w:adjustRightInd w:val="0"/>
              <w:rPr>
                <w:rFonts w:ascii="Arial" w:eastAsia="ＭＳ ゴシック" w:hAnsi="Arial"/>
              </w:rPr>
            </w:pPr>
            <w:r w:rsidRPr="00E4120F">
              <w:rPr>
                <w:rFonts w:ascii="Arial" w:eastAsia="ＭＳ ゴシック" w:hAnsi="Arial" w:hint="eastAsia"/>
              </w:rPr>
              <w:t>溶出試験（試験液：</w:t>
            </w:r>
            <w:r w:rsidRPr="00E4120F">
              <w:rPr>
                <w:rFonts w:ascii="Arial" w:eastAsia="ＭＳ ゴシック" w:hAnsi="Arial" w:cs="ＭＳゴシック" w:hint="eastAsia"/>
                <w:szCs w:val="20"/>
              </w:rPr>
              <w:t>pH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>1.2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>50rpm</w:t>
            </w:r>
            <w:r w:rsidRPr="00E4120F">
              <w:rPr>
                <w:rFonts w:ascii="Arial" w:eastAsia="ＭＳ ゴシック" w:hAnsi="Arial" w:hint="eastAsia"/>
              </w:rPr>
              <w:t>）</w:t>
            </w:r>
          </w:p>
          <w:p w14:paraId="67D5BA42" w14:textId="3E24F456" w:rsidR="00A31AA7" w:rsidRDefault="00B42E4C" w:rsidP="00A31AA7">
            <w:pPr>
              <w:widowControl w:val="0"/>
              <w:adjustRightInd w:val="0"/>
              <w:ind w:leftChars="-55" w:left="2" w:hangingChars="56" w:hanging="107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11D78A75" wp14:editId="4783B112">
                  <wp:extent cx="2665730" cy="1722120"/>
                  <wp:effectExtent l="0" t="0" r="127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0D576FE3" w14:textId="77777777" w:rsidR="00A31AA7" w:rsidRPr="008910C9" w:rsidRDefault="00A31AA7" w:rsidP="00A31AA7">
            <w:pPr>
              <w:snapToGrid w:val="0"/>
              <w:rPr>
                <w:sz w:val="16"/>
              </w:rPr>
            </w:pPr>
            <w:r w:rsidRPr="008910C9">
              <w:rPr>
                <w:rFonts w:hint="eastAsia"/>
                <w:sz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</w:rPr>
              <w:t>判定した結果、両製剤の溶出挙動は類似している</w:t>
            </w:r>
            <w:r w:rsidRPr="008910C9">
              <w:rPr>
                <w:rFonts w:hint="eastAsia"/>
                <w:sz w:val="16"/>
              </w:rPr>
              <w:t>と判</w:t>
            </w:r>
            <w:r>
              <w:rPr>
                <w:rFonts w:hint="eastAsia"/>
                <w:sz w:val="16"/>
              </w:rPr>
              <w:t>定</w:t>
            </w:r>
            <w:r w:rsidRPr="008910C9">
              <w:rPr>
                <w:rFonts w:hint="eastAsia"/>
                <w:sz w:val="16"/>
              </w:rPr>
              <w:t>された。</w:t>
            </w:r>
          </w:p>
        </w:tc>
        <w:tc>
          <w:tcPr>
            <w:tcW w:w="4169" w:type="dxa"/>
            <w:tcMar>
              <w:right w:w="0" w:type="dxa"/>
            </w:tcMar>
          </w:tcPr>
          <w:p w14:paraId="6E6C1F3E" w14:textId="77777777" w:rsidR="00A31AA7" w:rsidRDefault="00A31AA7" w:rsidP="00A31AA7">
            <w:pPr>
              <w:rPr>
                <w:rFonts w:ascii="Arial" w:eastAsia="ＭＳ ゴシック" w:hAnsi="ＭＳ ゴシック"/>
                <w:noProof/>
              </w:rPr>
            </w:pPr>
            <w:r w:rsidRPr="008910C9">
              <w:rPr>
                <w:rFonts w:ascii="Arial" w:eastAsia="ＭＳ ゴシック" w:hAnsi="ＭＳ ゴシック" w:hint="eastAsia"/>
                <w:noProof/>
              </w:rPr>
              <w:t>血中濃度比較試験（ヒト、空腹時）</w:t>
            </w:r>
          </w:p>
          <w:p w14:paraId="44F78E2D" w14:textId="16A19A7E" w:rsidR="00A31AA7" w:rsidRPr="008910C9" w:rsidRDefault="00B42E4C" w:rsidP="00A31AA7">
            <w:pPr>
              <w:ind w:leftChars="-54" w:hangingChars="54" w:hanging="103"/>
              <w:rPr>
                <w:rFonts w:ascii="Arial" w:eastAsia="ＭＳ ゴシック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14E755AA" wp14:editId="1BD1B263">
                  <wp:extent cx="2665730" cy="1722120"/>
                  <wp:effectExtent l="0" t="0" r="127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6816298A" w14:textId="77777777" w:rsidR="00A31AA7" w:rsidRPr="00A7137B" w:rsidRDefault="00A31AA7" w:rsidP="00A31AA7">
            <w:pPr>
              <w:rPr>
                <w:rFonts w:ascii="ＭＳ ゴシック" w:hAnsi="ＭＳ ゴシック"/>
                <w:sz w:val="16"/>
                <w:szCs w:val="16"/>
              </w:rPr>
            </w:pPr>
            <w:r w:rsidRPr="008910C9">
              <w:rPr>
                <w:rFonts w:hint="eastAsia"/>
                <w:sz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</w:rPr>
              <w:t>判定した結果、両製剤は生物学的に</w:t>
            </w:r>
            <w:r w:rsidRPr="008910C9">
              <w:rPr>
                <w:rFonts w:hint="eastAsia"/>
                <w:sz w:val="16"/>
              </w:rPr>
              <w:t>同等であると判</w:t>
            </w:r>
            <w:r>
              <w:rPr>
                <w:rFonts w:hint="eastAsia"/>
                <w:sz w:val="16"/>
              </w:rPr>
              <w:t>定</w:t>
            </w:r>
            <w:r w:rsidRPr="008910C9">
              <w:rPr>
                <w:rFonts w:hint="eastAsia"/>
                <w:sz w:val="16"/>
              </w:rPr>
              <w:t>された。</w:t>
            </w:r>
          </w:p>
        </w:tc>
      </w:tr>
      <w:tr w:rsidR="00A31AA7" w14:paraId="1AFFF991" w14:textId="77777777" w:rsidTr="00C14E55">
        <w:trPr>
          <w:trHeight w:hRule="exact" w:val="284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3FD0EDB6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38" w:type="dxa"/>
            <w:gridSpan w:val="2"/>
            <w:tcBorders>
              <w:bottom w:val="single" w:sz="4" w:space="0" w:color="auto"/>
            </w:tcBorders>
            <w:vAlign w:val="center"/>
          </w:tcPr>
          <w:p w14:paraId="4D3C3D14" w14:textId="77777777" w:rsidR="00A31AA7" w:rsidRPr="00512D05" w:rsidRDefault="00A31AA7" w:rsidP="00A31AA7"/>
        </w:tc>
      </w:tr>
      <w:tr w:rsidR="00A31AA7" w14:paraId="6717A703" w14:textId="77777777" w:rsidTr="00C14E55">
        <w:trPr>
          <w:trHeight w:hRule="exact" w:val="284"/>
        </w:trPr>
        <w:tc>
          <w:tcPr>
            <w:tcW w:w="1772" w:type="dxa"/>
            <w:vAlign w:val="center"/>
          </w:tcPr>
          <w:p w14:paraId="6915E639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38" w:type="dxa"/>
            <w:gridSpan w:val="2"/>
            <w:vAlign w:val="center"/>
          </w:tcPr>
          <w:p w14:paraId="082DFB8B" w14:textId="77777777" w:rsidR="00A31AA7" w:rsidRDefault="00A31AA7" w:rsidP="00A31A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16EFBAE" w14:textId="389F56D0" w:rsidR="00FD6CEF" w:rsidRDefault="00D96E98" w:rsidP="002753AD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590C58">
        <w:t>2</w:t>
      </w:r>
      <w:r w:rsidR="00B42E4C">
        <w:rPr>
          <w:rFonts w:hint="eastAsia"/>
        </w:rPr>
        <w:t>4</w:t>
      </w:r>
      <w:r w:rsidR="008E4A0D">
        <w:rPr>
          <w:rFonts w:hint="eastAsia"/>
        </w:rPr>
        <w:t>年</w:t>
      </w:r>
      <w:r w:rsidR="00590C58">
        <w:t>4</w:t>
      </w:r>
      <w:r w:rsidR="008E4A0D">
        <w:rPr>
          <w:rFonts w:hint="eastAsia"/>
        </w:rPr>
        <w:t>月</w:t>
      </w:r>
    </w:p>
    <w:sectPr w:rsidR="00FD6CEF" w:rsidSect="00C62C3A">
      <w:pgSz w:w="11906" w:h="16838" w:code="9"/>
      <w:pgMar w:top="435" w:right="737" w:bottom="426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CEEE" w14:textId="77777777" w:rsidR="00B2004C" w:rsidRDefault="00B2004C">
      <w:r>
        <w:separator/>
      </w:r>
    </w:p>
  </w:endnote>
  <w:endnote w:type="continuationSeparator" w:id="0">
    <w:p w14:paraId="3A61E434" w14:textId="77777777" w:rsidR="00B2004C" w:rsidRDefault="00B2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5CEF" w14:textId="77777777" w:rsidR="00B2004C" w:rsidRDefault="00B2004C">
      <w:r>
        <w:separator/>
      </w:r>
    </w:p>
  </w:footnote>
  <w:footnote w:type="continuationSeparator" w:id="0">
    <w:p w14:paraId="000EA880" w14:textId="77777777" w:rsidR="00B2004C" w:rsidRDefault="00B2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90704"/>
    <w:multiLevelType w:val="hybridMultilevel"/>
    <w:tmpl w:val="CD7CAE02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74942847">
    <w:abstractNumId w:val="0"/>
  </w:num>
  <w:num w:numId="2" w16cid:durableId="694887712">
    <w:abstractNumId w:val="4"/>
  </w:num>
  <w:num w:numId="3" w16cid:durableId="2131124216">
    <w:abstractNumId w:val="3"/>
  </w:num>
  <w:num w:numId="4" w16cid:durableId="330332199">
    <w:abstractNumId w:val="1"/>
  </w:num>
  <w:num w:numId="5" w16cid:durableId="812334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60B8"/>
    <w:rsid w:val="00006AB3"/>
    <w:rsid w:val="00007922"/>
    <w:rsid w:val="00016D81"/>
    <w:rsid w:val="00020621"/>
    <w:rsid w:val="000335CA"/>
    <w:rsid w:val="00034ED3"/>
    <w:rsid w:val="00041BDA"/>
    <w:rsid w:val="00043232"/>
    <w:rsid w:val="00046295"/>
    <w:rsid w:val="00057369"/>
    <w:rsid w:val="00057773"/>
    <w:rsid w:val="000645B0"/>
    <w:rsid w:val="00072D51"/>
    <w:rsid w:val="0008386E"/>
    <w:rsid w:val="000A1539"/>
    <w:rsid w:val="000A79B5"/>
    <w:rsid w:val="001446A6"/>
    <w:rsid w:val="001727C7"/>
    <w:rsid w:val="001A422B"/>
    <w:rsid w:val="001B030E"/>
    <w:rsid w:val="001B0C98"/>
    <w:rsid w:val="001C7CB6"/>
    <w:rsid w:val="001D02D6"/>
    <w:rsid w:val="001D0F9D"/>
    <w:rsid w:val="001D6D38"/>
    <w:rsid w:val="001F20CA"/>
    <w:rsid w:val="00202496"/>
    <w:rsid w:val="00230A92"/>
    <w:rsid w:val="00232C3A"/>
    <w:rsid w:val="00260BFB"/>
    <w:rsid w:val="00265E88"/>
    <w:rsid w:val="002753AD"/>
    <w:rsid w:val="00280AAF"/>
    <w:rsid w:val="002861BA"/>
    <w:rsid w:val="002A6E8C"/>
    <w:rsid w:val="002C3515"/>
    <w:rsid w:val="002D4206"/>
    <w:rsid w:val="002E0A62"/>
    <w:rsid w:val="003075C1"/>
    <w:rsid w:val="003228C0"/>
    <w:rsid w:val="00326FF6"/>
    <w:rsid w:val="003329D9"/>
    <w:rsid w:val="003577B5"/>
    <w:rsid w:val="003715C7"/>
    <w:rsid w:val="00374471"/>
    <w:rsid w:val="00391590"/>
    <w:rsid w:val="00393027"/>
    <w:rsid w:val="003A1A60"/>
    <w:rsid w:val="003E08DE"/>
    <w:rsid w:val="003E55EE"/>
    <w:rsid w:val="0045016D"/>
    <w:rsid w:val="00454CC1"/>
    <w:rsid w:val="00461043"/>
    <w:rsid w:val="004646FC"/>
    <w:rsid w:val="004931F4"/>
    <w:rsid w:val="004B7FCF"/>
    <w:rsid w:val="004D6A9C"/>
    <w:rsid w:val="00506C0B"/>
    <w:rsid w:val="00512D05"/>
    <w:rsid w:val="00555511"/>
    <w:rsid w:val="00590C58"/>
    <w:rsid w:val="005A7EC2"/>
    <w:rsid w:val="005B1C19"/>
    <w:rsid w:val="005B2A0F"/>
    <w:rsid w:val="005D7609"/>
    <w:rsid w:val="005D7885"/>
    <w:rsid w:val="005E1916"/>
    <w:rsid w:val="00610D6E"/>
    <w:rsid w:val="00626C9B"/>
    <w:rsid w:val="00654341"/>
    <w:rsid w:val="00662F34"/>
    <w:rsid w:val="0068091E"/>
    <w:rsid w:val="00691297"/>
    <w:rsid w:val="006975A1"/>
    <w:rsid w:val="006B5051"/>
    <w:rsid w:val="006B5594"/>
    <w:rsid w:val="006D35AD"/>
    <w:rsid w:val="006E1DD6"/>
    <w:rsid w:val="006F3F83"/>
    <w:rsid w:val="006F592A"/>
    <w:rsid w:val="00710139"/>
    <w:rsid w:val="00714438"/>
    <w:rsid w:val="00716D4A"/>
    <w:rsid w:val="007201AF"/>
    <w:rsid w:val="0073177E"/>
    <w:rsid w:val="00743E15"/>
    <w:rsid w:val="007474F6"/>
    <w:rsid w:val="0078048C"/>
    <w:rsid w:val="00785C7F"/>
    <w:rsid w:val="007912EA"/>
    <w:rsid w:val="007A2541"/>
    <w:rsid w:val="007A41EF"/>
    <w:rsid w:val="007C0A0A"/>
    <w:rsid w:val="007C6B63"/>
    <w:rsid w:val="007E7B68"/>
    <w:rsid w:val="007F708B"/>
    <w:rsid w:val="008037B6"/>
    <w:rsid w:val="008346C8"/>
    <w:rsid w:val="008420CA"/>
    <w:rsid w:val="008512B0"/>
    <w:rsid w:val="00857732"/>
    <w:rsid w:val="00861BF2"/>
    <w:rsid w:val="00866A4E"/>
    <w:rsid w:val="008673EE"/>
    <w:rsid w:val="0087205B"/>
    <w:rsid w:val="00873433"/>
    <w:rsid w:val="00876E96"/>
    <w:rsid w:val="008910C9"/>
    <w:rsid w:val="008915C9"/>
    <w:rsid w:val="00893052"/>
    <w:rsid w:val="008A179A"/>
    <w:rsid w:val="008D33CA"/>
    <w:rsid w:val="008E05D5"/>
    <w:rsid w:val="008E4A0D"/>
    <w:rsid w:val="008F2B73"/>
    <w:rsid w:val="009147CE"/>
    <w:rsid w:val="00917F2E"/>
    <w:rsid w:val="009317CB"/>
    <w:rsid w:val="009406D0"/>
    <w:rsid w:val="009469A5"/>
    <w:rsid w:val="0095009F"/>
    <w:rsid w:val="009672D3"/>
    <w:rsid w:val="009819CD"/>
    <w:rsid w:val="00984003"/>
    <w:rsid w:val="00984B60"/>
    <w:rsid w:val="00995493"/>
    <w:rsid w:val="009B2809"/>
    <w:rsid w:val="009C2630"/>
    <w:rsid w:val="009C502C"/>
    <w:rsid w:val="009D6935"/>
    <w:rsid w:val="009E4217"/>
    <w:rsid w:val="00A07FAC"/>
    <w:rsid w:val="00A31AA7"/>
    <w:rsid w:val="00A44188"/>
    <w:rsid w:val="00A67C29"/>
    <w:rsid w:val="00A7137B"/>
    <w:rsid w:val="00A84E57"/>
    <w:rsid w:val="00A85301"/>
    <w:rsid w:val="00A85CD4"/>
    <w:rsid w:val="00AA2003"/>
    <w:rsid w:val="00AB0544"/>
    <w:rsid w:val="00AB35AB"/>
    <w:rsid w:val="00AB572B"/>
    <w:rsid w:val="00AB68CB"/>
    <w:rsid w:val="00AF0409"/>
    <w:rsid w:val="00B016F8"/>
    <w:rsid w:val="00B2004C"/>
    <w:rsid w:val="00B30CD5"/>
    <w:rsid w:val="00B42E4C"/>
    <w:rsid w:val="00B57750"/>
    <w:rsid w:val="00B60FE7"/>
    <w:rsid w:val="00B61B98"/>
    <w:rsid w:val="00B645C2"/>
    <w:rsid w:val="00B9656E"/>
    <w:rsid w:val="00BB20C0"/>
    <w:rsid w:val="00BC012E"/>
    <w:rsid w:val="00BC07F9"/>
    <w:rsid w:val="00BC5A3D"/>
    <w:rsid w:val="00BC7399"/>
    <w:rsid w:val="00BD15DE"/>
    <w:rsid w:val="00BD509E"/>
    <w:rsid w:val="00BE570C"/>
    <w:rsid w:val="00BF50BB"/>
    <w:rsid w:val="00BF68F4"/>
    <w:rsid w:val="00C14E55"/>
    <w:rsid w:val="00C44F81"/>
    <w:rsid w:val="00C4572A"/>
    <w:rsid w:val="00C55AA3"/>
    <w:rsid w:val="00C62C3A"/>
    <w:rsid w:val="00C826B7"/>
    <w:rsid w:val="00C901F2"/>
    <w:rsid w:val="00C906BC"/>
    <w:rsid w:val="00CA0922"/>
    <w:rsid w:val="00CA409E"/>
    <w:rsid w:val="00CA4239"/>
    <w:rsid w:val="00CB633F"/>
    <w:rsid w:val="00CB7F28"/>
    <w:rsid w:val="00CC0F01"/>
    <w:rsid w:val="00CC5333"/>
    <w:rsid w:val="00CC73CC"/>
    <w:rsid w:val="00CF01BD"/>
    <w:rsid w:val="00D00814"/>
    <w:rsid w:val="00D06481"/>
    <w:rsid w:val="00D1253F"/>
    <w:rsid w:val="00D261B4"/>
    <w:rsid w:val="00D37916"/>
    <w:rsid w:val="00D559E8"/>
    <w:rsid w:val="00D761B1"/>
    <w:rsid w:val="00D7648B"/>
    <w:rsid w:val="00D76ABD"/>
    <w:rsid w:val="00D8557C"/>
    <w:rsid w:val="00D87356"/>
    <w:rsid w:val="00D87620"/>
    <w:rsid w:val="00D92ECD"/>
    <w:rsid w:val="00D96E98"/>
    <w:rsid w:val="00DA0680"/>
    <w:rsid w:val="00DA587E"/>
    <w:rsid w:val="00DB2AAD"/>
    <w:rsid w:val="00DC481E"/>
    <w:rsid w:val="00DC63E9"/>
    <w:rsid w:val="00DC7800"/>
    <w:rsid w:val="00DD008D"/>
    <w:rsid w:val="00DF6A3B"/>
    <w:rsid w:val="00E02F40"/>
    <w:rsid w:val="00E053D3"/>
    <w:rsid w:val="00E20ADF"/>
    <w:rsid w:val="00E4120F"/>
    <w:rsid w:val="00E436DD"/>
    <w:rsid w:val="00E44DBD"/>
    <w:rsid w:val="00E6091D"/>
    <w:rsid w:val="00E81EEA"/>
    <w:rsid w:val="00E82C56"/>
    <w:rsid w:val="00EA5A3F"/>
    <w:rsid w:val="00EB3008"/>
    <w:rsid w:val="00ED432F"/>
    <w:rsid w:val="00ED6938"/>
    <w:rsid w:val="00EE2781"/>
    <w:rsid w:val="00EE5D5B"/>
    <w:rsid w:val="00F17A72"/>
    <w:rsid w:val="00F27507"/>
    <w:rsid w:val="00F46535"/>
    <w:rsid w:val="00F53D64"/>
    <w:rsid w:val="00F55B50"/>
    <w:rsid w:val="00F61B6D"/>
    <w:rsid w:val="00F81049"/>
    <w:rsid w:val="00FA1BA6"/>
    <w:rsid w:val="00FD60B9"/>
    <w:rsid w:val="00FD6CEF"/>
    <w:rsid w:val="00FD6FA5"/>
    <w:rsid w:val="00FE0E79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71B3B8D"/>
  <w15:chartTrackingRefBased/>
  <w15:docId w15:val="{3C717E35-45CE-4926-A084-041983BE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0C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CB633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28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nakamgr3\Desktop\&#29694;&#22312;&#36914;&#34892;&#20013;\2013&#27096;&#24335;&#12408;&#12398;&#20462;&#27491;&#23550;&#24540;\&#12501;&#12449;&#12514;&#12481;&#12472;&#12531;\&#12501;&#12449;&#12514;&#12481;&#12472;&#12531;&#37664;10mg&#28342;&#20986;&#26354;&#32218;NEW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nakamgr3\Desktop\&#29694;&#22312;&#36914;&#34892;&#20013;\2013&#27096;&#24335;&#12408;&#12398;&#20462;&#27491;&#23550;&#24540;\&#12501;&#12449;&#12514;&#12481;&#12472;&#12531;\&#12501;&#12449;&#12514;&#12481;&#12472;&#12531;&#37664;&#34880;&#20013;&#28611;&#24230;&#26354;&#32218;NEW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entury"/>
                <a:ea typeface="Century"/>
                <a:cs typeface="Century"/>
              </a:defRPr>
            </a:pPr>
            <a:r>
              <a:rPr lang="en-US" altLang="en-US" sz="700"/>
              <a:t>pH1.2/50rpm</a:t>
            </a:r>
          </a:p>
        </c:rich>
      </c:tx>
      <c:layout>
        <c:manualLayout>
          <c:xMode val="edge"/>
          <c:yMode val="edge"/>
          <c:x val="7.6103500761035003E-3"/>
          <c:y val="1.17647058823529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176576101503293"/>
          <c:y val="0.11764705882352942"/>
          <c:w val="0.83713978675040046"/>
          <c:h val="0.71764705882353053"/>
        </c:manualLayout>
      </c:layout>
      <c:scatterChart>
        <c:scatterStyle val="lineMarker"/>
        <c:varyColors val="0"/>
        <c:ser>
          <c:idx val="0"/>
          <c:order val="0"/>
          <c:tx>
            <c:strRef>
              <c:f>'pH1.2 50rpm (2)'!$A$3</c:f>
              <c:strCache>
                <c:ptCount val="1"/>
                <c:pt idx="0">
                  <c:v>ファモチジン錠10mg「YD」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'pH1.2 50rpm (2)'!$B$6:$E$6</c:f>
                <c:numCache>
                  <c:formatCode>General</c:formatCode>
                  <c:ptCount val="4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plus>
            <c:minus>
              <c:numRef>
                <c:f>'pH1.2 50rpm (2)'!$B$6:$E$6</c:f>
                <c:numCache>
                  <c:formatCode>General</c:formatCode>
                  <c:ptCount val="4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'pH1.2 50rpm (2)'!$B$2:$J$2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'pH1.2 50rpm (2)'!$B$3:$J$3</c:f>
              <c:numCache>
                <c:formatCode>General</c:formatCode>
                <c:ptCount val="9"/>
                <c:pt idx="0">
                  <c:v>0</c:v>
                </c:pt>
                <c:pt idx="1">
                  <c:v>19.899999999999999</c:v>
                </c:pt>
                <c:pt idx="2">
                  <c:v>86.1</c:v>
                </c:pt>
                <c:pt idx="3">
                  <c:v>96.7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9F1-4501-9272-4E1B6E747820}"/>
            </c:ext>
          </c:extLst>
        </c:ser>
        <c:ser>
          <c:idx val="1"/>
          <c:order val="1"/>
          <c:tx>
            <c:strRef>
              <c:f>'pH1.2 50rpm (2)'!$A$4</c:f>
              <c:strCache>
                <c:ptCount val="1"/>
                <c:pt idx="0">
                  <c:v>標準製剤（錠剤、10mg）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ysDash"/>
            </a:ln>
          </c:spPr>
          <c:marker>
            <c:symbol val="circl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'pH1.2 50rpm (2)'!$B$6:$J$6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plus>
            <c:minus>
              <c:numRef>
                <c:f>'pH1.2 50rpm (2)'!$B$6:$J$6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'pH1.2 50rpm (2)'!$B$2:$J$2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'pH1.2 50rpm (2)'!$B$4:$J$4</c:f>
              <c:numCache>
                <c:formatCode>General</c:formatCode>
                <c:ptCount val="9"/>
                <c:pt idx="0">
                  <c:v>0</c:v>
                </c:pt>
                <c:pt idx="1">
                  <c:v>56.3</c:v>
                </c:pt>
                <c:pt idx="2">
                  <c:v>80.900000000000006</c:v>
                </c:pt>
                <c:pt idx="3">
                  <c:v>88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9F1-4501-9272-4E1B6E747820}"/>
            </c:ext>
          </c:extLst>
        </c:ser>
        <c:ser>
          <c:idx val="2"/>
          <c:order val="2"/>
          <c:tx>
            <c:strRef>
              <c:f>'pH1.2 50rpm (2)'!$A$5</c:f>
              <c:strCache>
                <c:ptCount val="1"/>
              </c:strCache>
            </c:strRef>
          </c:tx>
          <c:spPr>
            <a:ln w="9525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'pH1.2 50rpm (2)'!$B$2:$J$2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'pH1.2 50rpm (2)'!$B$5:$J$5</c:f>
              <c:numCache>
                <c:formatCode>General</c:formatCode>
                <c:ptCount val="9"/>
                <c:pt idx="0">
                  <c:v>85</c:v>
                </c:pt>
                <c:pt idx="1">
                  <c:v>85</c:v>
                </c:pt>
                <c:pt idx="2">
                  <c:v>85</c:v>
                </c:pt>
                <c:pt idx="3">
                  <c:v>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9F1-4501-9272-4E1B6E7478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741376"/>
        <c:axId val="208832768"/>
      </c:scatterChart>
      <c:valAx>
        <c:axId val="154741376"/>
        <c:scaling>
          <c:orientation val="minMax"/>
          <c:max val="15"/>
        </c:scaling>
        <c:delete val="0"/>
        <c:axPos val="b"/>
        <c:title>
          <c:tx>
            <c:rich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</a:rPr>
                  <a:t>時間（</a:t>
                </a: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Century"/>
                    <a:ea typeface="ＭＳ Ｐ明朝"/>
                  </a:rPr>
                  <a:t>min</a:t>
                </a: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</a:rPr>
                  <a:t>）</a:t>
                </a:r>
                <a:endParaRPr lang="ja-JP" altLang="en-US" sz="600"/>
              </a:p>
            </c:rich>
          </c:tx>
          <c:layout>
            <c:manualLayout>
              <c:xMode val="edge"/>
              <c:yMode val="edge"/>
              <c:x val="0.46270992381660053"/>
              <c:y val="0.91294117647058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95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208832768"/>
        <c:crosses val="autoZero"/>
        <c:crossBetween val="midCat"/>
        <c:majorUnit val="5"/>
      </c:valAx>
      <c:valAx>
        <c:axId val="208832768"/>
        <c:scaling>
          <c:orientation val="minMax"/>
          <c:max val="105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  <a:cs typeface="ＭＳ Ｐ明朝"/>
                  </a:defRPr>
                </a:pPr>
                <a:r>
                  <a:rPr lang="ja-JP" altLang="en-US" sz="600"/>
                  <a:t>溶
出
率
（％）</a:t>
                </a:r>
              </a:p>
            </c:rich>
          </c:tx>
          <c:layout>
            <c:manualLayout>
              <c:xMode val="edge"/>
              <c:yMode val="edge"/>
              <c:x val="1.5220700152207001E-3"/>
              <c:y val="0.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95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54741376"/>
        <c:crosses val="autoZero"/>
        <c:crossBetween val="midCat"/>
        <c:majorUnit val="25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45952890952947223"/>
          <c:y val="0.64955403804612921"/>
          <c:w val="0.53286079235331407"/>
          <c:h val="0.1364705882352941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Century" pitchFamily="18" charset="0"/>
              <a:ea typeface="ＭＳ 明朝" pitchFamily="17" charset="-128"/>
              <a:cs typeface="ＭＳ Ｐ明朝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600" b="0"/>
            </a:pPr>
            <a:r>
              <a:rPr lang="en-US" altLang="ja-JP" sz="600" b="0">
                <a:latin typeface="Century" pitchFamily="18" charset="0"/>
              </a:rPr>
              <a:t>(ng/mL)</a:t>
            </a:r>
            <a:endParaRPr lang="ja-JP" altLang="en-US" sz="600" b="0">
              <a:latin typeface="Century" pitchFamily="18" charset="0"/>
            </a:endParaRPr>
          </a:p>
        </c:rich>
      </c:tx>
      <c:layout>
        <c:manualLayout>
          <c:xMode val="edge"/>
          <c:yMode val="edge"/>
          <c:x val="9.2920416911356399E-2"/>
          <c:y val="1.824498996448973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119869367474103"/>
          <c:y val="9.4538930919305528E-2"/>
          <c:w val="0.82344733625854016"/>
          <c:h val="0.75188593954701555"/>
        </c:manualLayout>
      </c:layout>
      <c:scatterChart>
        <c:scatterStyle val="lineMarker"/>
        <c:varyColors val="0"/>
        <c:ser>
          <c:idx val="0"/>
          <c:order val="0"/>
          <c:tx>
            <c:strRef>
              <c:f>'10mg血中濃度'!$A$3</c:f>
              <c:strCache>
                <c:ptCount val="1"/>
                <c:pt idx="0">
                  <c:v>ファモチジン錠10mg｢YD｣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rgbClr val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'10mg血中濃度'!$B$7:$O$7</c:f>
                <c:numCache>
                  <c:formatCode>General</c:formatCode>
                  <c:ptCount val="14"/>
                  <c:pt idx="3">
                    <c:v>25.26</c:v>
                  </c:pt>
                  <c:pt idx="4">
                    <c:v>25.36</c:v>
                  </c:pt>
                  <c:pt idx="5">
                    <c:v>25.55</c:v>
                  </c:pt>
                  <c:pt idx="6">
                    <c:v>22.26</c:v>
                  </c:pt>
                  <c:pt idx="7">
                    <c:v>14.07</c:v>
                  </c:pt>
                  <c:pt idx="8">
                    <c:v>8.83</c:v>
                  </c:pt>
                  <c:pt idx="9">
                    <c:v>4.34</c:v>
                  </c:pt>
                  <c:pt idx="10">
                    <c:v>0.64</c:v>
                  </c:pt>
                </c:numCache>
              </c:numRef>
            </c:plus>
            <c:minus>
              <c:numRef>
                <c:f>'10mg血中濃度'!$B$8:$O$8</c:f>
                <c:numCache>
                  <c:formatCode>General</c:formatCode>
                  <c:ptCount val="14"/>
                  <c:pt idx="0">
                    <c:v>0</c:v>
                  </c:pt>
                  <c:pt idx="1">
                    <c:v>2.4900000000000002</c:v>
                  </c:pt>
                  <c:pt idx="2">
                    <c:v>20.5</c:v>
                  </c:pt>
                </c:numCache>
              </c:numRef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Ref>
              <c:f>'10mg血中濃度'!$B$2:$O$2</c:f>
              <c:numCache>
                <c:formatCode>General</c:formatCode>
                <c:ptCount val="14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9</c:v>
                </c:pt>
                <c:pt idx="9">
                  <c:v>12</c:v>
                </c:pt>
                <c:pt idx="10">
                  <c:v>24</c:v>
                </c:pt>
              </c:numCache>
            </c:numRef>
          </c:xVal>
          <c:yVal>
            <c:numRef>
              <c:f>'10mg血中濃度'!$B$3:$O$3</c:f>
              <c:numCache>
                <c:formatCode>General</c:formatCode>
                <c:ptCount val="14"/>
                <c:pt idx="0">
                  <c:v>0</c:v>
                </c:pt>
                <c:pt idx="1">
                  <c:v>2.69</c:v>
                </c:pt>
                <c:pt idx="2">
                  <c:v>33.93</c:v>
                </c:pt>
                <c:pt idx="3">
                  <c:v>78.239999999999995</c:v>
                </c:pt>
                <c:pt idx="4">
                  <c:v>81.47</c:v>
                </c:pt>
                <c:pt idx="5">
                  <c:v>79.75</c:v>
                </c:pt>
                <c:pt idx="6">
                  <c:v>67.39</c:v>
                </c:pt>
                <c:pt idx="7">
                  <c:v>42.82</c:v>
                </c:pt>
                <c:pt idx="8">
                  <c:v>25.62</c:v>
                </c:pt>
                <c:pt idx="9">
                  <c:v>12.57</c:v>
                </c:pt>
                <c:pt idx="10">
                  <c:v>1.92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B48-4BA9-8588-87618CD7C0AE}"/>
            </c:ext>
          </c:extLst>
        </c:ser>
        <c:ser>
          <c:idx val="1"/>
          <c:order val="1"/>
          <c:tx>
            <c:strRef>
              <c:f>'10mg血中濃度'!$A$4</c:f>
              <c:strCache>
                <c:ptCount val="1"/>
                <c:pt idx="0">
                  <c:v>標準製剤（錠剤、10mg)</c:v>
                </c:pt>
              </c:strCache>
            </c:strRef>
          </c:tx>
          <c:spPr>
            <a:ln w="12700" cmpd="sng">
              <a:solidFill>
                <a:srgbClr val="000000"/>
              </a:solidFill>
              <a:prstDash val="sysDash"/>
            </a:ln>
          </c:spPr>
          <c:marker>
            <c:symbol val="circl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'10mg血中濃度'!$B$10:$O$10</c:f>
                <c:numCache>
                  <c:formatCode>General</c:formatCode>
                  <c:ptCount val="14"/>
                  <c:pt idx="0">
                    <c:v>0</c:v>
                  </c:pt>
                  <c:pt idx="1">
                    <c:v>11.93</c:v>
                  </c:pt>
                  <c:pt idx="2">
                    <c:v>16.11</c:v>
                  </c:pt>
                </c:numCache>
              </c:numRef>
            </c:plus>
            <c:minus>
              <c:numRef>
                <c:f>'10mg血中濃度'!$B$11:$O$11</c:f>
                <c:numCache>
                  <c:formatCode>General</c:formatCode>
                  <c:ptCount val="14"/>
                  <c:pt idx="3">
                    <c:v>27.45</c:v>
                  </c:pt>
                  <c:pt idx="4">
                    <c:v>29.43</c:v>
                  </c:pt>
                  <c:pt idx="5">
                    <c:v>26.13</c:v>
                  </c:pt>
                  <c:pt idx="6">
                    <c:v>21.04</c:v>
                  </c:pt>
                  <c:pt idx="7">
                    <c:v>13.77</c:v>
                  </c:pt>
                  <c:pt idx="8">
                    <c:v>7.7</c:v>
                  </c:pt>
                  <c:pt idx="9">
                    <c:v>4.3099999999999996</c:v>
                  </c:pt>
                  <c:pt idx="10">
                    <c:v>0.65</c:v>
                  </c:pt>
                </c:numCache>
              </c:numRef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Ref>
              <c:f>'10mg血中濃度'!$B$2:$O$2</c:f>
              <c:numCache>
                <c:formatCode>General</c:formatCode>
                <c:ptCount val="14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9</c:v>
                </c:pt>
                <c:pt idx="9">
                  <c:v>12</c:v>
                </c:pt>
                <c:pt idx="10">
                  <c:v>24</c:v>
                </c:pt>
              </c:numCache>
            </c:numRef>
          </c:xVal>
          <c:yVal>
            <c:numRef>
              <c:f>'10mg血中濃度'!$B$4:$O$4</c:f>
              <c:numCache>
                <c:formatCode>General</c:formatCode>
                <c:ptCount val="14"/>
                <c:pt idx="0">
                  <c:v>0</c:v>
                </c:pt>
                <c:pt idx="1">
                  <c:v>16.420000000000002</c:v>
                </c:pt>
                <c:pt idx="2">
                  <c:v>50.61</c:v>
                </c:pt>
                <c:pt idx="3">
                  <c:v>76.260000000000005</c:v>
                </c:pt>
                <c:pt idx="4">
                  <c:v>77.84</c:v>
                </c:pt>
                <c:pt idx="5">
                  <c:v>70.59</c:v>
                </c:pt>
                <c:pt idx="6">
                  <c:v>59.14</c:v>
                </c:pt>
                <c:pt idx="7">
                  <c:v>38.03</c:v>
                </c:pt>
                <c:pt idx="8">
                  <c:v>22.42</c:v>
                </c:pt>
                <c:pt idx="9">
                  <c:v>11.54</c:v>
                </c:pt>
                <c:pt idx="10">
                  <c:v>1.8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B48-4BA9-8588-87618CD7C0AE}"/>
            </c:ext>
          </c:extLst>
        </c:ser>
        <c:ser>
          <c:idx val="2"/>
          <c:order val="2"/>
          <c:tx>
            <c:strRef>
              <c:f>'10mg血中濃度'!$A$5</c:f>
              <c:strCache>
                <c:ptCount val="1"/>
                <c:pt idx="0">
                  <c:v> (Mean±S.D., n=23)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xVal>
            <c:numRef>
              <c:f>'10mg血中濃度'!$B$2:$O$2</c:f>
              <c:numCache>
                <c:formatCode>General</c:formatCode>
                <c:ptCount val="14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9</c:v>
                </c:pt>
                <c:pt idx="9">
                  <c:v>12</c:v>
                </c:pt>
                <c:pt idx="10">
                  <c:v>24</c:v>
                </c:pt>
              </c:numCache>
            </c:numRef>
          </c:xVal>
          <c:yVal>
            <c:numRef>
              <c:f>'10mg血中濃度'!$B$5:$O$5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B48-4BA9-8588-87618CD7C0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892352"/>
        <c:axId val="153893888"/>
      </c:scatterChart>
      <c:valAx>
        <c:axId val="153892352"/>
        <c:scaling>
          <c:orientation val="minMax"/>
          <c:max val="24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600" b="0">
                    <a:latin typeface="ＭＳ 明朝" pitchFamily="17" charset="-128"/>
                    <a:ea typeface="ＭＳ 明朝" pitchFamily="17" charset="-128"/>
                  </a:defRPr>
                </a:pPr>
                <a:r>
                  <a:rPr lang="ja-JP" altLang="en-US" sz="600" b="0">
                    <a:latin typeface="ＭＳ 明朝" pitchFamily="17" charset="-128"/>
                    <a:ea typeface="ＭＳ 明朝" pitchFamily="17" charset="-128"/>
                  </a:rPr>
                  <a:t>投与後時間（</a:t>
                </a:r>
                <a:r>
                  <a:rPr lang="en-US" altLang="ja-JP" sz="600" b="0">
                    <a:latin typeface="Century" pitchFamily="18" charset="0"/>
                    <a:ea typeface="ＭＳ 明朝" pitchFamily="17" charset="-128"/>
                  </a:rPr>
                  <a:t>hr</a:t>
                </a:r>
                <a:r>
                  <a:rPr lang="ja-JP" altLang="en-US" sz="600" b="0">
                    <a:latin typeface="ＭＳ 明朝" pitchFamily="17" charset="-128"/>
                    <a:ea typeface="ＭＳ 明朝" pitchFamily="17" charset="-128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45071537290715374"/>
              <c:y val="0.9183308321753898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9525"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53893888"/>
        <c:crosses val="autoZero"/>
        <c:crossBetween val="midCat"/>
        <c:majorUnit val="4"/>
      </c:valAx>
      <c:valAx>
        <c:axId val="153893888"/>
        <c:scaling>
          <c:orientation val="minMax"/>
          <c:max val="120"/>
          <c:min val="0"/>
        </c:scaling>
        <c:delete val="0"/>
        <c:axPos val="l"/>
        <c:title>
          <c:tx>
            <c:rich>
              <a:bodyPr rot="0" vert="eaVert"/>
              <a:lstStyle/>
              <a:p>
                <a:pPr>
                  <a:defRPr sz="600" b="0">
                    <a:latin typeface="ＭＳ 明朝" pitchFamily="17" charset="-128"/>
                    <a:ea typeface="ＭＳ 明朝" pitchFamily="17" charset="-128"/>
                  </a:defRPr>
                </a:pPr>
                <a:r>
                  <a:rPr lang="ja-JP" altLang="en-US" sz="600" b="0">
                    <a:latin typeface="ＭＳ 明朝" pitchFamily="17" charset="-128"/>
                    <a:ea typeface="ＭＳ 明朝" pitchFamily="17" charset="-128"/>
                  </a:rPr>
                  <a:t>血漿中濃度</a:t>
                </a:r>
              </a:p>
            </c:rich>
          </c:tx>
          <c:layout>
            <c:manualLayout>
              <c:xMode val="edge"/>
              <c:yMode val="edge"/>
              <c:x val="1.1213301533655325E-2"/>
              <c:y val="0.35332085842210903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 w="9525">
            <a:solidFill>
              <a:srgbClr val="000000"/>
            </a:solidFill>
          </a:ln>
        </c:spPr>
        <c:txPr>
          <a:bodyPr/>
          <a:lstStyle/>
          <a:p>
            <a:pPr>
              <a:defRPr sz="600"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53892352"/>
        <c:crosses val="autoZero"/>
        <c:crossBetween val="midCat"/>
        <c:majorUnit val="20"/>
      </c:valAx>
    </c:plotArea>
    <c:legend>
      <c:legendPos val="r"/>
      <c:legendEntry>
        <c:idx val="0"/>
        <c:txPr>
          <a:bodyPr/>
          <a:lstStyle/>
          <a:p>
            <a:pPr>
              <a:defRPr sz="60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egendEntry>
        <c:idx val="1"/>
        <c:txPr>
          <a:bodyPr/>
          <a:lstStyle/>
          <a:p>
            <a:pPr>
              <a:defRPr sz="60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egendEntry>
        <c:idx val="2"/>
        <c:txPr>
          <a:bodyPr/>
          <a:lstStyle/>
          <a:p>
            <a:pPr>
              <a:defRPr sz="60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ayout>
        <c:manualLayout>
          <c:xMode val="edge"/>
          <c:yMode val="edge"/>
          <c:x val="0.41273759908167745"/>
          <c:y val="0.17902485718696928"/>
          <c:w val="0.58242282601763873"/>
          <c:h val="0.20892116720704032"/>
        </c:manualLayout>
      </c:layout>
      <c:overlay val="0"/>
      <c:txPr>
        <a:bodyPr/>
        <a:lstStyle/>
        <a:p>
          <a:pPr>
            <a:defRPr sz="600">
              <a:latin typeface="Century" panose="02040604050505020304" pitchFamily="18" charset="0"/>
              <a:ea typeface="ＭＳ 明朝" panose="02020609040205080304" pitchFamily="17" charset="-128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2013-07-18T04:02:00Z</cp:lastPrinted>
  <dcterms:created xsi:type="dcterms:W3CDTF">2024-03-21T08:21:00Z</dcterms:created>
  <dcterms:modified xsi:type="dcterms:W3CDTF">2024-03-21T08:21:00Z</dcterms:modified>
</cp:coreProperties>
</file>