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78FBC" w14:textId="77777777" w:rsidR="008E4A0D" w:rsidRPr="00DC731A" w:rsidRDefault="008E4A0D" w:rsidP="00BC012E">
      <w:pPr>
        <w:tabs>
          <w:tab w:val="left" w:pos="1774"/>
          <w:tab w:val="left" w:pos="5521"/>
        </w:tabs>
        <w:spacing w:line="280" w:lineRule="exact"/>
        <w:jc w:val="center"/>
        <w:rPr>
          <w:rFonts w:ascii="Arial" w:eastAsia="ＭＳ ゴシック" w:hAnsi="Arial"/>
          <w:sz w:val="24"/>
        </w:rPr>
      </w:pPr>
      <w:r w:rsidRPr="00DC731A">
        <w:rPr>
          <w:rFonts w:ascii="Arial" w:eastAsia="ＭＳ ゴシック" w:hAnsi="ＭＳ ゴシック" w:hint="eastAsia"/>
          <w:sz w:val="24"/>
        </w:rPr>
        <w:t>製品別比較表（標準製剤との比較）</w:t>
      </w:r>
      <w:r w:rsidR="00DC731A" w:rsidRPr="00DC731A">
        <w:rPr>
          <w:rFonts w:ascii="Arial" w:eastAsia="ＭＳ ゴシック" w:hAnsi="ＭＳ ゴシック" w:hint="eastAsia"/>
          <w:sz w:val="24"/>
        </w:rPr>
        <w:t>（</w:t>
      </w:r>
      <w:r w:rsidRPr="00DC731A">
        <w:rPr>
          <w:rFonts w:ascii="Arial" w:eastAsia="ＭＳ ゴシック" w:hAnsi="ＭＳ ゴシック" w:hint="eastAsia"/>
          <w:sz w:val="24"/>
        </w:rPr>
        <w:t>案</w:t>
      </w:r>
      <w:r w:rsidR="00DC731A" w:rsidRPr="00DC731A">
        <w:rPr>
          <w:rFonts w:ascii="Arial" w:eastAsia="ＭＳ ゴシック" w:hAnsi="ＭＳ ゴシック" w:hint="eastAsia"/>
          <w:sz w:val="24"/>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9"/>
        <w:gridCol w:w="4184"/>
        <w:gridCol w:w="4185"/>
      </w:tblGrid>
      <w:tr w:rsidR="008E4A0D" w14:paraId="7C73E918" w14:textId="77777777" w:rsidTr="00EE4867">
        <w:trPr>
          <w:trHeight w:val="312"/>
        </w:trPr>
        <w:tc>
          <w:tcPr>
            <w:tcW w:w="1769" w:type="dxa"/>
          </w:tcPr>
          <w:p w14:paraId="2461DE77" w14:textId="77777777" w:rsidR="008E4A0D" w:rsidRDefault="008E4A0D" w:rsidP="00DC731A">
            <w:pPr>
              <w:rPr>
                <w:rFonts w:ascii="ＭＳ ゴシック" w:eastAsia="ＭＳ ゴシック" w:hAnsi="ＭＳ ゴシック"/>
              </w:rPr>
            </w:pPr>
          </w:p>
        </w:tc>
        <w:tc>
          <w:tcPr>
            <w:tcW w:w="4184" w:type="dxa"/>
            <w:vAlign w:val="center"/>
          </w:tcPr>
          <w:p w14:paraId="59A0336D" w14:textId="77777777" w:rsidR="008E4A0D" w:rsidRPr="00DC731A" w:rsidRDefault="008E4A0D" w:rsidP="00DA0680">
            <w:pPr>
              <w:jc w:val="center"/>
              <w:rPr>
                <w:rFonts w:ascii="Arial" w:eastAsia="ＭＳ ゴシック" w:hAnsi="Arial"/>
              </w:rPr>
            </w:pPr>
            <w:r w:rsidRPr="00DC731A">
              <w:rPr>
                <w:rFonts w:ascii="Arial" w:eastAsia="ＭＳ ゴシック" w:hAnsi="ＭＳ ゴシック" w:hint="eastAsia"/>
              </w:rPr>
              <w:t>後　　発　　品</w:t>
            </w:r>
          </w:p>
        </w:tc>
        <w:tc>
          <w:tcPr>
            <w:tcW w:w="4185" w:type="dxa"/>
            <w:vAlign w:val="center"/>
          </w:tcPr>
          <w:p w14:paraId="71E1BF47" w14:textId="77777777" w:rsidR="008E4A0D" w:rsidRPr="00DC731A" w:rsidRDefault="008E4A0D" w:rsidP="00DA0680">
            <w:pPr>
              <w:jc w:val="center"/>
              <w:rPr>
                <w:rFonts w:ascii="Arial" w:eastAsia="ＭＳ ゴシック" w:hAnsi="Arial"/>
              </w:rPr>
            </w:pPr>
            <w:r w:rsidRPr="00DC731A">
              <w:rPr>
                <w:rFonts w:ascii="Arial" w:eastAsia="ＭＳ ゴシック" w:hAnsi="ＭＳ ゴシック" w:hint="eastAsia"/>
              </w:rPr>
              <w:t>先　　発　　品</w:t>
            </w:r>
          </w:p>
        </w:tc>
      </w:tr>
      <w:tr w:rsidR="00B016F8" w14:paraId="4AD55B8B" w14:textId="77777777" w:rsidTr="00EE4867">
        <w:trPr>
          <w:trHeight w:val="312"/>
        </w:trPr>
        <w:tc>
          <w:tcPr>
            <w:tcW w:w="1769" w:type="dxa"/>
            <w:vAlign w:val="center"/>
          </w:tcPr>
          <w:p w14:paraId="05C249EA" w14:textId="77777777" w:rsidR="00B016F8" w:rsidRPr="00DC731A" w:rsidRDefault="00B016F8" w:rsidP="00DC731A">
            <w:pPr>
              <w:jc w:val="distribute"/>
              <w:rPr>
                <w:rFonts w:ascii="Arial" w:eastAsia="ＭＳ ゴシック" w:hAnsi="Arial"/>
              </w:rPr>
            </w:pPr>
            <w:r w:rsidRPr="00DC731A">
              <w:rPr>
                <w:rFonts w:ascii="Arial" w:eastAsia="ＭＳ ゴシック" w:hAnsi="ＭＳ ゴシック" w:hint="eastAsia"/>
              </w:rPr>
              <w:t>会　　社　　名</w:t>
            </w:r>
          </w:p>
        </w:tc>
        <w:tc>
          <w:tcPr>
            <w:tcW w:w="4184" w:type="dxa"/>
            <w:vAlign w:val="center"/>
          </w:tcPr>
          <w:p w14:paraId="099A43CB" w14:textId="77777777" w:rsidR="00B016F8" w:rsidRPr="00DC731A" w:rsidRDefault="00B016F8">
            <w:pPr>
              <w:jc w:val="center"/>
              <w:rPr>
                <w:szCs w:val="20"/>
              </w:rPr>
            </w:pPr>
            <w:r w:rsidRPr="00DC731A">
              <w:rPr>
                <w:rFonts w:hint="eastAsia"/>
                <w:szCs w:val="20"/>
              </w:rPr>
              <w:t>第一三共エスファ株式会社</w:t>
            </w:r>
          </w:p>
        </w:tc>
        <w:tc>
          <w:tcPr>
            <w:tcW w:w="4185" w:type="dxa"/>
            <w:vAlign w:val="center"/>
          </w:tcPr>
          <w:p w14:paraId="7E27758B" w14:textId="77777777" w:rsidR="00B016F8" w:rsidRPr="00B016F8" w:rsidRDefault="00B016F8" w:rsidP="00D87620">
            <w:pPr>
              <w:jc w:val="center"/>
              <w:rPr>
                <w:szCs w:val="20"/>
              </w:rPr>
            </w:pPr>
          </w:p>
        </w:tc>
      </w:tr>
      <w:tr w:rsidR="00B016F8" w14:paraId="6E2839D1" w14:textId="77777777" w:rsidTr="00EE4867">
        <w:trPr>
          <w:trHeight w:val="312"/>
        </w:trPr>
        <w:tc>
          <w:tcPr>
            <w:tcW w:w="1769" w:type="dxa"/>
            <w:vAlign w:val="center"/>
          </w:tcPr>
          <w:p w14:paraId="7625BBAF" w14:textId="77777777" w:rsidR="00B016F8" w:rsidRPr="00DC731A" w:rsidRDefault="00EE4867" w:rsidP="00DC731A">
            <w:pPr>
              <w:jc w:val="distribute"/>
              <w:rPr>
                <w:rFonts w:ascii="Arial" w:eastAsia="ＭＳ ゴシック" w:hAnsi="Arial"/>
              </w:rPr>
            </w:pPr>
            <w:r>
              <w:rPr>
                <w:rFonts w:ascii="Arial" w:eastAsia="ＭＳ ゴシック" w:hAnsi="ＭＳ ゴシック" w:hint="eastAsia"/>
              </w:rPr>
              <w:t>製</w:t>
            </w:r>
            <w:r w:rsidR="00B016F8" w:rsidRPr="00DC731A">
              <w:rPr>
                <w:rFonts w:ascii="Arial" w:eastAsia="ＭＳ ゴシック" w:hAnsi="ＭＳ ゴシック" w:hint="eastAsia"/>
              </w:rPr>
              <w:t xml:space="preserve">　　品　　名</w:t>
            </w:r>
          </w:p>
        </w:tc>
        <w:tc>
          <w:tcPr>
            <w:tcW w:w="4184" w:type="dxa"/>
            <w:vAlign w:val="center"/>
          </w:tcPr>
          <w:p w14:paraId="209E20C3" w14:textId="77777777" w:rsidR="00B016F8" w:rsidRPr="00DC731A" w:rsidRDefault="006C1E12" w:rsidP="00057369">
            <w:pPr>
              <w:ind w:firstLine="36"/>
              <w:jc w:val="center"/>
              <w:rPr>
                <w:rFonts w:ascii="Arial" w:eastAsia="ＭＳ ゴシック" w:hAnsi="Arial"/>
                <w:vertAlign w:val="subscript"/>
              </w:rPr>
            </w:pPr>
            <w:r w:rsidRPr="00DC731A">
              <w:rPr>
                <w:rFonts w:ascii="Arial" w:eastAsia="ＭＳ ゴシック" w:hAnsi="ＭＳ ゴシック" w:hint="eastAsia"/>
              </w:rPr>
              <w:t>サルポグレラート塩酸塩</w:t>
            </w:r>
            <w:r w:rsidR="00D76ABD" w:rsidRPr="00DC731A">
              <w:rPr>
                <w:rFonts w:ascii="Arial" w:eastAsia="ＭＳ ゴシック" w:hAnsi="ＭＳ ゴシック" w:hint="eastAsia"/>
              </w:rPr>
              <w:t>錠</w:t>
            </w:r>
            <w:r w:rsidRPr="00DC731A">
              <w:rPr>
                <w:rFonts w:ascii="Arial" w:eastAsia="ＭＳ ゴシック" w:hAnsi="Arial" w:hint="eastAsia"/>
              </w:rPr>
              <w:t>50</w:t>
            </w:r>
            <w:r w:rsidR="00D76ABD" w:rsidRPr="00DC731A">
              <w:rPr>
                <w:rFonts w:ascii="Arial" w:eastAsia="ＭＳ ゴシック" w:hAnsi="Arial" w:hint="eastAsia"/>
              </w:rPr>
              <w:t>mg</w:t>
            </w:r>
            <w:r w:rsidR="00D76ABD" w:rsidRPr="00DC731A">
              <w:rPr>
                <w:rFonts w:ascii="Arial" w:eastAsia="ＭＳ ゴシック" w:hAnsi="ＭＳ ゴシック" w:hint="eastAsia"/>
              </w:rPr>
              <w:t>「</w:t>
            </w:r>
            <w:r w:rsidR="00D76ABD" w:rsidRPr="00DC731A">
              <w:rPr>
                <w:rFonts w:ascii="Arial" w:eastAsia="ＭＳ ゴシック" w:hAnsi="Arial" w:hint="eastAsia"/>
              </w:rPr>
              <w:t>YD</w:t>
            </w:r>
            <w:r w:rsidR="00D76ABD" w:rsidRPr="00DC731A">
              <w:rPr>
                <w:rFonts w:ascii="Arial" w:eastAsia="ＭＳ ゴシック" w:hAnsi="ＭＳ ゴシック" w:hint="eastAsia"/>
              </w:rPr>
              <w:t>」</w:t>
            </w:r>
          </w:p>
        </w:tc>
        <w:tc>
          <w:tcPr>
            <w:tcW w:w="4185" w:type="dxa"/>
            <w:vAlign w:val="center"/>
          </w:tcPr>
          <w:p w14:paraId="6D5B99CD" w14:textId="569D69B8" w:rsidR="00B016F8" w:rsidRPr="00DF04E1" w:rsidRDefault="00DF04E1" w:rsidP="00CC5333">
            <w:pPr>
              <w:jc w:val="center"/>
              <w:rPr>
                <w:rFonts w:ascii="Arial" w:eastAsia="ＭＳ ゴシック" w:hAnsi="Arial" w:cs="Arial"/>
              </w:rPr>
            </w:pPr>
            <w:r w:rsidRPr="00DF04E1">
              <w:rPr>
                <w:rFonts w:ascii="Arial" w:eastAsia="ＭＳ ゴシック" w:hAnsi="Arial" w:cs="Arial" w:hint="eastAsia"/>
              </w:rPr>
              <w:t>アンプラ－グ錠</w:t>
            </w:r>
            <w:r w:rsidRPr="00DF04E1">
              <w:rPr>
                <w:rFonts w:ascii="Arial" w:eastAsia="ＭＳ ゴシック" w:hAnsi="Arial" w:cs="Arial" w:hint="eastAsia"/>
              </w:rPr>
              <w:t>50mg</w:t>
            </w:r>
          </w:p>
        </w:tc>
      </w:tr>
      <w:tr w:rsidR="00B016F8" w14:paraId="22FC6D73" w14:textId="77777777" w:rsidTr="00EE4867">
        <w:trPr>
          <w:trHeight w:val="312"/>
        </w:trPr>
        <w:tc>
          <w:tcPr>
            <w:tcW w:w="1769" w:type="dxa"/>
            <w:vAlign w:val="center"/>
          </w:tcPr>
          <w:p w14:paraId="183EF9F2" w14:textId="77777777" w:rsidR="00B016F8" w:rsidRPr="00DC731A" w:rsidRDefault="00B016F8" w:rsidP="00DC731A">
            <w:pPr>
              <w:jc w:val="distribute"/>
              <w:rPr>
                <w:rFonts w:ascii="Arial" w:eastAsia="ＭＳ ゴシック" w:hAnsi="Arial"/>
              </w:rPr>
            </w:pPr>
            <w:r w:rsidRPr="00DC731A">
              <w:rPr>
                <w:rFonts w:ascii="Arial" w:eastAsia="ＭＳ ゴシック" w:hAnsi="ＭＳ ゴシック" w:hint="eastAsia"/>
              </w:rPr>
              <w:t>薬　　　　　価</w:t>
            </w:r>
          </w:p>
        </w:tc>
        <w:tc>
          <w:tcPr>
            <w:tcW w:w="4184" w:type="dxa"/>
            <w:vAlign w:val="center"/>
          </w:tcPr>
          <w:p w14:paraId="4307657F" w14:textId="426F00FF" w:rsidR="00B016F8" w:rsidRPr="00382CAC" w:rsidRDefault="00DF04E1" w:rsidP="0058377E">
            <w:pPr>
              <w:jc w:val="center"/>
              <w:rPr>
                <w:szCs w:val="20"/>
              </w:rPr>
            </w:pPr>
            <w:r>
              <w:rPr>
                <w:rFonts w:hAnsi="ＭＳ 明朝" w:hint="eastAsia"/>
                <w:szCs w:val="20"/>
              </w:rPr>
              <w:t>19</w:t>
            </w:r>
            <w:r w:rsidR="00783C6A">
              <w:rPr>
                <w:rFonts w:hAnsi="ＭＳ 明朝"/>
                <w:szCs w:val="20"/>
              </w:rPr>
              <w:t>.10</w:t>
            </w:r>
            <w:r w:rsidR="00B016F8" w:rsidRPr="00382CAC">
              <w:rPr>
                <w:rFonts w:hAnsi="ＭＳ 明朝" w:hint="eastAsia"/>
                <w:szCs w:val="20"/>
              </w:rPr>
              <w:t>円</w:t>
            </w:r>
          </w:p>
        </w:tc>
        <w:tc>
          <w:tcPr>
            <w:tcW w:w="4185" w:type="dxa"/>
            <w:vAlign w:val="center"/>
          </w:tcPr>
          <w:p w14:paraId="0DCD95E7" w14:textId="415AD9FF" w:rsidR="00B016F8" w:rsidRPr="00382CAC" w:rsidRDefault="00DF04E1" w:rsidP="0058377E">
            <w:pPr>
              <w:jc w:val="center"/>
              <w:rPr>
                <w:szCs w:val="20"/>
              </w:rPr>
            </w:pPr>
            <w:r>
              <w:rPr>
                <w:rFonts w:hAnsi="ＭＳ 明朝" w:hint="eastAsia"/>
                <w:szCs w:val="20"/>
              </w:rPr>
              <w:t>38.10</w:t>
            </w:r>
            <w:r w:rsidR="00B016F8" w:rsidRPr="00382CAC">
              <w:rPr>
                <w:rFonts w:hAnsi="ＭＳ 明朝" w:hint="eastAsia"/>
                <w:szCs w:val="20"/>
              </w:rPr>
              <w:t>円</w:t>
            </w:r>
          </w:p>
        </w:tc>
      </w:tr>
      <w:tr w:rsidR="00B04B69" w14:paraId="628BB9EA" w14:textId="77777777" w:rsidTr="00EE4867">
        <w:trPr>
          <w:trHeight w:val="312"/>
        </w:trPr>
        <w:tc>
          <w:tcPr>
            <w:tcW w:w="1769" w:type="dxa"/>
            <w:vAlign w:val="center"/>
          </w:tcPr>
          <w:p w14:paraId="041CCFCE" w14:textId="77777777" w:rsidR="00B04B69" w:rsidRPr="00DC731A" w:rsidRDefault="00B04B69" w:rsidP="00DC731A">
            <w:pPr>
              <w:jc w:val="distribute"/>
              <w:rPr>
                <w:rFonts w:ascii="Arial" w:eastAsia="ＭＳ ゴシック" w:hAnsi="Arial"/>
              </w:rPr>
            </w:pPr>
            <w:r w:rsidRPr="00DC731A">
              <w:rPr>
                <w:rFonts w:ascii="Arial" w:eastAsia="ＭＳ ゴシック" w:hAnsi="ＭＳ ゴシック" w:hint="eastAsia"/>
              </w:rPr>
              <w:t>規　　　　　格</w:t>
            </w:r>
          </w:p>
        </w:tc>
        <w:tc>
          <w:tcPr>
            <w:tcW w:w="8369" w:type="dxa"/>
            <w:gridSpan w:val="2"/>
            <w:vAlign w:val="center"/>
          </w:tcPr>
          <w:p w14:paraId="605CC8AF" w14:textId="77777777" w:rsidR="00B04B69" w:rsidRPr="00876E96" w:rsidRDefault="00E555EC" w:rsidP="00E555EC">
            <w:pPr>
              <w:jc w:val="center"/>
            </w:pPr>
            <w:r>
              <w:rPr>
                <w:rFonts w:hint="eastAsia"/>
              </w:rPr>
              <w:t>1</w:t>
            </w:r>
            <w:r w:rsidR="00B04B69">
              <w:rPr>
                <w:rFonts w:hint="eastAsia"/>
              </w:rPr>
              <w:t>錠中に</w:t>
            </w:r>
            <w:r w:rsidR="006C1E12" w:rsidRPr="00DC731A">
              <w:rPr>
                <w:rFonts w:ascii="Arial" w:eastAsia="ＭＳ ゴシック" w:hint="eastAsia"/>
              </w:rPr>
              <w:t>サルポグレラート</w:t>
            </w:r>
            <w:r w:rsidR="00B04B69" w:rsidRPr="00DC731A">
              <w:rPr>
                <w:rFonts w:ascii="Arial" w:eastAsia="ＭＳ ゴシック" w:hint="eastAsia"/>
              </w:rPr>
              <w:t>塩酸塩</w:t>
            </w:r>
            <w:r w:rsidR="00376083">
              <w:rPr>
                <w:rFonts w:ascii="Arial" w:eastAsia="ＭＳ ゴシック" w:hint="eastAsia"/>
              </w:rPr>
              <w:t>（日局）</w:t>
            </w:r>
            <w:r w:rsidR="006C1E12" w:rsidRPr="006D06B7">
              <w:rPr>
                <w:rFonts w:hint="eastAsia"/>
              </w:rPr>
              <w:t>50</w:t>
            </w:r>
            <w:r w:rsidR="00B04B69" w:rsidRPr="006D06B7">
              <w:rPr>
                <w:rFonts w:hint="eastAsia"/>
              </w:rPr>
              <w:t>mg</w:t>
            </w:r>
            <w:r w:rsidR="00B04B69" w:rsidRPr="006D06B7">
              <w:rPr>
                <w:rFonts w:hint="eastAsia"/>
              </w:rPr>
              <w:t>を含有</w:t>
            </w:r>
          </w:p>
        </w:tc>
      </w:tr>
      <w:tr w:rsidR="00EE4867" w14:paraId="6328D0C7" w14:textId="77777777" w:rsidTr="00EE4867">
        <w:tc>
          <w:tcPr>
            <w:tcW w:w="1769" w:type="dxa"/>
            <w:vAlign w:val="center"/>
          </w:tcPr>
          <w:p w14:paraId="2D81CDED" w14:textId="77777777" w:rsidR="00EE4867" w:rsidRPr="00DC731A" w:rsidRDefault="00EE4867" w:rsidP="00EE4867">
            <w:pPr>
              <w:jc w:val="distribute"/>
              <w:rPr>
                <w:rFonts w:ascii="Arial" w:eastAsia="ＭＳ ゴシック" w:hAnsi="Arial"/>
              </w:rPr>
            </w:pPr>
            <w:r w:rsidRPr="00DC731A">
              <w:rPr>
                <w:rFonts w:ascii="Arial" w:eastAsia="ＭＳ ゴシック" w:hAnsi="ＭＳ ゴシック" w:hint="eastAsia"/>
              </w:rPr>
              <w:t>添加物</w:t>
            </w:r>
          </w:p>
        </w:tc>
        <w:tc>
          <w:tcPr>
            <w:tcW w:w="4184" w:type="dxa"/>
            <w:tcBorders>
              <w:right w:val="single" w:sz="4" w:space="0" w:color="auto"/>
            </w:tcBorders>
          </w:tcPr>
          <w:p w14:paraId="67C5D330" w14:textId="77777777" w:rsidR="00EE4867" w:rsidRPr="006C1E12" w:rsidRDefault="00EE4867" w:rsidP="00EE4867">
            <w:pPr>
              <w:ind w:right="-57"/>
              <w:rPr>
                <w:szCs w:val="20"/>
              </w:rPr>
            </w:pPr>
            <w:r w:rsidRPr="006C1E12">
              <w:rPr>
                <w:rFonts w:hint="eastAsia"/>
                <w:szCs w:val="20"/>
              </w:rPr>
              <w:t>ヒドロキシプロピルスターチ、セルロース、乳糖水和物、ポビドン、無水ケイ酸、クエン酸水和物、ステアリン酸</w:t>
            </w:r>
            <w:r w:rsidRPr="006C1E12">
              <w:rPr>
                <w:rFonts w:hint="eastAsia"/>
                <w:szCs w:val="20"/>
              </w:rPr>
              <w:t>Mg</w:t>
            </w:r>
            <w:r w:rsidRPr="006C1E12">
              <w:rPr>
                <w:rFonts w:hint="eastAsia"/>
                <w:szCs w:val="20"/>
              </w:rPr>
              <w:t>、ヒプロメロース、酸化チタン、マクロゴール、タルク、カルナウバロウ</w:t>
            </w:r>
          </w:p>
        </w:tc>
        <w:tc>
          <w:tcPr>
            <w:tcW w:w="4185" w:type="dxa"/>
            <w:tcBorders>
              <w:left w:val="single" w:sz="4" w:space="0" w:color="auto"/>
            </w:tcBorders>
          </w:tcPr>
          <w:p w14:paraId="2B43CD54" w14:textId="77777777" w:rsidR="00EE4867" w:rsidRPr="00B840E5" w:rsidRDefault="00EE4867" w:rsidP="00EE4867">
            <w:pPr>
              <w:ind w:right="-57"/>
              <w:rPr>
                <w:szCs w:val="20"/>
              </w:rPr>
            </w:pPr>
            <w:r w:rsidRPr="00B840E5">
              <w:rPr>
                <w:rFonts w:hint="eastAsia"/>
                <w:szCs w:val="20"/>
              </w:rPr>
              <w:t>セルロース、カルメロース、ヒドロキシプロピルセルロース、無水ケイ酸、クエン酸水和物、ステアリン酸マグネシウム、ヒプロメロース、酸化チタン、マクロゴール</w:t>
            </w:r>
            <w:r w:rsidRPr="00B840E5">
              <w:rPr>
                <w:rFonts w:hint="eastAsia"/>
                <w:szCs w:val="20"/>
              </w:rPr>
              <w:t>6000</w:t>
            </w:r>
            <w:r w:rsidRPr="00B840E5">
              <w:rPr>
                <w:rFonts w:hint="eastAsia"/>
                <w:szCs w:val="20"/>
              </w:rPr>
              <w:t>、タルク</w:t>
            </w:r>
          </w:p>
        </w:tc>
      </w:tr>
      <w:tr w:rsidR="00EE4867" w14:paraId="1C831FDF" w14:textId="77777777" w:rsidTr="00EE4867">
        <w:trPr>
          <w:trHeight w:hRule="exact" w:val="312"/>
        </w:trPr>
        <w:tc>
          <w:tcPr>
            <w:tcW w:w="1769" w:type="dxa"/>
            <w:vAlign w:val="center"/>
          </w:tcPr>
          <w:p w14:paraId="2FDE4427" w14:textId="77777777" w:rsidR="00EE4867" w:rsidRPr="00DC731A" w:rsidRDefault="00EE4867" w:rsidP="00EE4867">
            <w:pPr>
              <w:jc w:val="distribute"/>
              <w:rPr>
                <w:rFonts w:ascii="Arial" w:eastAsia="ＭＳ ゴシック" w:hAnsi="Arial"/>
              </w:rPr>
            </w:pPr>
            <w:r w:rsidRPr="00DC731A">
              <w:rPr>
                <w:rFonts w:ascii="Arial" w:eastAsia="ＭＳ ゴシック" w:hAnsi="ＭＳ ゴシック" w:hint="eastAsia"/>
              </w:rPr>
              <w:t>薬効分類名</w:t>
            </w:r>
          </w:p>
        </w:tc>
        <w:tc>
          <w:tcPr>
            <w:tcW w:w="8369" w:type="dxa"/>
            <w:gridSpan w:val="2"/>
            <w:vAlign w:val="center"/>
          </w:tcPr>
          <w:p w14:paraId="7CE9482F" w14:textId="77777777" w:rsidR="00EE4867" w:rsidRPr="001E3EB8" w:rsidRDefault="00EE4867" w:rsidP="00EE4867">
            <w:pPr>
              <w:jc w:val="center"/>
            </w:pPr>
            <w:r>
              <w:rPr>
                <w:rFonts w:hint="eastAsia"/>
              </w:rPr>
              <w:t>5-HT</w:t>
            </w:r>
            <w:r w:rsidRPr="00B840E5">
              <w:rPr>
                <w:rFonts w:hint="eastAsia"/>
                <w:vertAlign w:val="subscript"/>
              </w:rPr>
              <w:t>2</w:t>
            </w:r>
            <w:r>
              <w:rPr>
                <w:rFonts w:hint="eastAsia"/>
              </w:rPr>
              <w:t>ブロッカー</w:t>
            </w:r>
          </w:p>
        </w:tc>
      </w:tr>
      <w:tr w:rsidR="00EE4867" w14:paraId="261C8F9F" w14:textId="77777777" w:rsidTr="00EE4867">
        <w:trPr>
          <w:trHeight w:hRule="exact" w:val="312"/>
        </w:trPr>
        <w:tc>
          <w:tcPr>
            <w:tcW w:w="1769" w:type="dxa"/>
            <w:vAlign w:val="center"/>
          </w:tcPr>
          <w:p w14:paraId="6D6A7DF5" w14:textId="77777777" w:rsidR="00EE4867" w:rsidRPr="00DC731A" w:rsidRDefault="00EE4867" w:rsidP="00EE4867">
            <w:pPr>
              <w:jc w:val="distribute"/>
              <w:rPr>
                <w:rFonts w:ascii="Arial" w:eastAsia="ＭＳ ゴシック" w:hAnsi="Arial"/>
              </w:rPr>
            </w:pPr>
            <w:r w:rsidRPr="00DC731A">
              <w:rPr>
                <w:rFonts w:ascii="Arial" w:eastAsia="ＭＳ ゴシック" w:hAnsi="ＭＳ ゴシック" w:hint="eastAsia"/>
              </w:rPr>
              <w:t>効能・効果</w:t>
            </w:r>
          </w:p>
        </w:tc>
        <w:tc>
          <w:tcPr>
            <w:tcW w:w="8369" w:type="dxa"/>
            <w:gridSpan w:val="2"/>
            <w:vAlign w:val="center"/>
          </w:tcPr>
          <w:p w14:paraId="296F18F1" w14:textId="77777777" w:rsidR="00EE4867" w:rsidRPr="00B840E5" w:rsidRDefault="00EE4867" w:rsidP="00EE4867">
            <w:r w:rsidRPr="00B840E5">
              <w:rPr>
                <w:rFonts w:hint="eastAsia"/>
              </w:rPr>
              <w:t>慢性動脈閉塞症に伴う潰瘍、疼痛および冷感等の虚血性諸症状の改善</w:t>
            </w:r>
          </w:p>
        </w:tc>
      </w:tr>
      <w:tr w:rsidR="00EE4867" w14:paraId="4C6C06E2" w14:textId="77777777" w:rsidTr="00EE4867">
        <w:trPr>
          <w:trHeight w:val="450"/>
        </w:trPr>
        <w:tc>
          <w:tcPr>
            <w:tcW w:w="1769" w:type="dxa"/>
            <w:vAlign w:val="center"/>
          </w:tcPr>
          <w:p w14:paraId="30BE97D6" w14:textId="77777777" w:rsidR="00EE4867" w:rsidRPr="00DC731A" w:rsidRDefault="00EE4867" w:rsidP="00EE4867">
            <w:pPr>
              <w:jc w:val="distribute"/>
              <w:rPr>
                <w:rFonts w:ascii="Arial" w:eastAsia="ＭＳ ゴシック" w:hAnsi="Arial"/>
              </w:rPr>
            </w:pPr>
            <w:r w:rsidRPr="00DC731A">
              <w:rPr>
                <w:rFonts w:ascii="Arial" w:eastAsia="ＭＳ ゴシック" w:hAnsi="ＭＳ ゴシック" w:hint="eastAsia"/>
              </w:rPr>
              <w:t>用法・用量</w:t>
            </w:r>
          </w:p>
        </w:tc>
        <w:tc>
          <w:tcPr>
            <w:tcW w:w="8369" w:type="dxa"/>
            <w:gridSpan w:val="2"/>
            <w:vAlign w:val="center"/>
          </w:tcPr>
          <w:p w14:paraId="1AD3B4C0" w14:textId="77777777" w:rsidR="00EE4867" w:rsidRDefault="00EE4867" w:rsidP="00EE4867">
            <w:r w:rsidRPr="00B840E5">
              <w:rPr>
                <w:rFonts w:hint="eastAsia"/>
              </w:rPr>
              <w:t>サルポグレラート塩酸塩として、通常成人</w:t>
            </w:r>
            <w:r w:rsidRPr="00B840E5">
              <w:rPr>
                <w:rFonts w:hint="eastAsia"/>
              </w:rPr>
              <w:t>1</w:t>
            </w:r>
            <w:r w:rsidRPr="00B840E5">
              <w:rPr>
                <w:rFonts w:hint="eastAsia"/>
              </w:rPr>
              <w:t>回</w:t>
            </w:r>
            <w:r w:rsidRPr="00B840E5">
              <w:rPr>
                <w:rFonts w:hint="eastAsia"/>
              </w:rPr>
              <w:t>100mg</w:t>
            </w:r>
            <w:r w:rsidRPr="00B840E5">
              <w:rPr>
                <w:rFonts w:hint="eastAsia"/>
              </w:rPr>
              <w:t>を</w:t>
            </w:r>
            <w:r w:rsidRPr="00B840E5">
              <w:rPr>
                <w:rFonts w:hint="eastAsia"/>
              </w:rPr>
              <w:t>1</w:t>
            </w:r>
            <w:r w:rsidRPr="00B840E5">
              <w:rPr>
                <w:rFonts w:hint="eastAsia"/>
              </w:rPr>
              <w:t>日</w:t>
            </w:r>
            <w:r w:rsidRPr="00B840E5">
              <w:rPr>
                <w:rFonts w:hint="eastAsia"/>
              </w:rPr>
              <w:t>3</w:t>
            </w:r>
            <w:r w:rsidRPr="00B840E5">
              <w:rPr>
                <w:rFonts w:hint="eastAsia"/>
              </w:rPr>
              <w:t>回食後経口投与する。</w:t>
            </w:r>
          </w:p>
          <w:p w14:paraId="46C9F295" w14:textId="77777777" w:rsidR="00EE4867" w:rsidRPr="00B840E5" w:rsidRDefault="00EE4867" w:rsidP="00EE4867">
            <w:pPr>
              <w:rPr>
                <w:szCs w:val="20"/>
              </w:rPr>
            </w:pPr>
            <w:r w:rsidRPr="00B840E5">
              <w:rPr>
                <w:rFonts w:hint="eastAsia"/>
              </w:rPr>
              <w:t>なお、年齢、症状により適宜増減する。</w:t>
            </w:r>
          </w:p>
        </w:tc>
      </w:tr>
      <w:tr w:rsidR="00EE4867" w14:paraId="35B508DB" w14:textId="77777777" w:rsidTr="00EE4867">
        <w:tc>
          <w:tcPr>
            <w:tcW w:w="1769" w:type="dxa"/>
            <w:tcBorders>
              <w:bottom w:val="single" w:sz="4" w:space="0" w:color="auto"/>
            </w:tcBorders>
            <w:vAlign w:val="center"/>
          </w:tcPr>
          <w:p w14:paraId="6750F440" w14:textId="77777777" w:rsidR="00EE4867" w:rsidRPr="00DC731A" w:rsidRDefault="00EE4867" w:rsidP="00EE4867">
            <w:pPr>
              <w:jc w:val="distribute"/>
              <w:rPr>
                <w:rFonts w:ascii="Arial" w:eastAsia="ＭＳ ゴシック" w:hAnsi="Arial"/>
              </w:rPr>
            </w:pPr>
            <w:r w:rsidRPr="00DC731A">
              <w:rPr>
                <w:rFonts w:ascii="Arial" w:eastAsia="ＭＳ ゴシック" w:hAnsi="ＭＳ ゴシック" w:hint="eastAsia"/>
              </w:rPr>
              <w:t>製品の性状</w:t>
            </w:r>
          </w:p>
        </w:tc>
        <w:tc>
          <w:tcPr>
            <w:tcW w:w="4184" w:type="dxa"/>
            <w:tcBorders>
              <w:bottom w:val="single" w:sz="4" w:space="0" w:color="auto"/>
            </w:tcBorders>
          </w:tcPr>
          <w:p w14:paraId="27B72786" w14:textId="77777777" w:rsidR="00EE4867" w:rsidRDefault="00EE4867" w:rsidP="00EE4867">
            <w:pPr>
              <w:rPr>
                <w:szCs w:val="20"/>
              </w:rPr>
            </w:pPr>
            <w:r>
              <w:rPr>
                <w:rFonts w:hint="eastAsia"/>
                <w:szCs w:val="20"/>
              </w:rPr>
              <w:t>白</w:t>
            </w:r>
            <w:r>
              <w:rPr>
                <w:rFonts w:hint="eastAsia"/>
              </w:rPr>
              <w:t>色</w:t>
            </w:r>
            <w:r w:rsidRPr="00857732">
              <w:rPr>
                <w:rFonts w:hint="eastAsia"/>
                <w:szCs w:val="20"/>
              </w:rPr>
              <w:t>の</w:t>
            </w:r>
            <w:r>
              <w:rPr>
                <w:rFonts w:hint="eastAsia"/>
              </w:rPr>
              <w:t>フィルムコーティング</w:t>
            </w:r>
            <w:r w:rsidRPr="0036602B">
              <w:rPr>
                <w:rFonts w:hint="eastAsia"/>
              </w:rPr>
              <w:t>錠</w:t>
            </w:r>
          </w:p>
          <w:tbl>
            <w:tblPr>
              <w:tblW w:w="4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6" w:type="dxa"/>
                <w:bottom w:w="28" w:type="dxa"/>
                <w:right w:w="96" w:type="dxa"/>
              </w:tblCellMar>
              <w:tblLook w:val="01E0" w:firstRow="1" w:lastRow="1" w:firstColumn="1" w:lastColumn="1" w:noHBand="0" w:noVBand="0"/>
            </w:tblPr>
            <w:tblGrid>
              <w:gridCol w:w="855"/>
              <w:gridCol w:w="855"/>
              <w:gridCol w:w="855"/>
              <w:gridCol w:w="1502"/>
            </w:tblGrid>
            <w:tr w:rsidR="00EE4867" w:rsidRPr="00850A48" w14:paraId="77072C5F" w14:textId="77777777" w:rsidTr="003B58EF">
              <w:tc>
                <w:tcPr>
                  <w:tcW w:w="855" w:type="dxa"/>
                  <w:shd w:val="clear" w:color="auto" w:fill="auto"/>
                  <w:tcMar>
                    <w:top w:w="0" w:type="dxa"/>
                    <w:left w:w="0" w:type="dxa"/>
                    <w:bottom w:w="0" w:type="dxa"/>
                    <w:right w:w="0" w:type="dxa"/>
                  </w:tcMar>
                  <w:vAlign w:val="center"/>
                </w:tcPr>
                <w:p w14:paraId="38740537" w14:textId="77777777" w:rsidR="00EE4867" w:rsidRPr="0019592F" w:rsidRDefault="00EE4867" w:rsidP="00EE4867">
                  <w:pPr>
                    <w:jc w:val="center"/>
                    <w:rPr>
                      <w:rFonts w:ascii="ＭＳ ゴシック" w:eastAsia="ＭＳ ゴシック" w:hAnsi="ＭＳ ゴシック"/>
                      <w:sz w:val="18"/>
                      <w:szCs w:val="18"/>
                    </w:rPr>
                  </w:pPr>
                  <w:r w:rsidRPr="0019592F">
                    <w:rPr>
                      <w:rFonts w:ascii="ＭＳ ゴシック" w:eastAsia="ＭＳ ゴシック" w:hAnsi="ＭＳ ゴシック" w:hint="eastAsia"/>
                      <w:sz w:val="18"/>
                      <w:szCs w:val="18"/>
                    </w:rPr>
                    <w:t>表面</w:t>
                  </w:r>
                </w:p>
              </w:tc>
              <w:tc>
                <w:tcPr>
                  <w:tcW w:w="855" w:type="dxa"/>
                  <w:shd w:val="clear" w:color="auto" w:fill="auto"/>
                  <w:tcMar>
                    <w:top w:w="0" w:type="dxa"/>
                    <w:left w:w="0" w:type="dxa"/>
                    <w:bottom w:w="0" w:type="dxa"/>
                    <w:right w:w="0" w:type="dxa"/>
                  </w:tcMar>
                  <w:vAlign w:val="center"/>
                </w:tcPr>
                <w:p w14:paraId="55F8D809" w14:textId="77777777" w:rsidR="00EE4867" w:rsidRPr="0019592F" w:rsidRDefault="00EE4867" w:rsidP="00EE4867">
                  <w:pPr>
                    <w:jc w:val="center"/>
                    <w:rPr>
                      <w:rFonts w:ascii="ＭＳ ゴシック" w:eastAsia="ＭＳ ゴシック" w:hAnsi="ＭＳ ゴシック"/>
                      <w:sz w:val="18"/>
                      <w:szCs w:val="18"/>
                    </w:rPr>
                  </w:pPr>
                  <w:r w:rsidRPr="0019592F">
                    <w:rPr>
                      <w:rFonts w:ascii="ＭＳ ゴシック" w:eastAsia="ＭＳ ゴシック" w:hAnsi="ＭＳ ゴシック" w:hint="eastAsia"/>
                      <w:sz w:val="18"/>
                      <w:szCs w:val="18"/>
                    </w:rPr>
                    <w:t>裏面</w:t>
                  </w:r>
                </w:p>
              </w:tc>
              <w:tc>
                <w:tcPr>
                  <w:tcW w:w="855" w:type="dxa"/>
                  <w:shd w:val="clear" w:color="auto" w:fill="auto"/>
                  <w:tcMar>
                    <w:top w:w="0" w:type="dxa"/>
                    <w:left w:w="0" w:type="dxa"/>
                    <w:bottom w:w="0" w:type="dxa"/>
                    <w:right w:w="0" w:type="dxa"/>
                  </w:tcMar>
                  <w:vAlign w:val="center"/>
                </w:tcPr>
                <w:p w14:paraId="4684AEEE" w14:textId="77777777" w:rsidR="00EE4867" w:rsidRPr="0019592F" w:rsidRDefault="00EE4867" w:rsidP="00EE4867">
                  <w:pPr>
                    <w:jc w:val="center"/>
                    <w:rPr>
                      <w:rFonts w:ascii="ＭＳ ゴシック" w:eastAsia="ＭＳ ゴシック" w:hAnsi="ＭＳ ゴシック"/>
                      <w:sz w:val="18"/>
                      <w:szCs w:val="18"/>
                    </w:rPr>
                  </w:pPr>
                  <w:r w:rsidRPr="0019592F">
                    <w:rPr>
                      <w:rFonts w:ascii="ＭＳ ゴシック" w:eastAsia="ＭＳ ゴシック" w:hAnsi="ＭＳ ゴシック" w:hint="eastAsia"/>
                      <w:sz w:val="18"/>
                      <w:szCs w:val="18"/>
                    </w:rPr>
                    <w:t>側面</w:t>
                  </w:r>
                </w:p>
              </w:tc>
              <w:tc>
                <w:tcPr>
                  <w:tcW w:w="1502" w:type="dxa"/>
                  <w:vMerge w:val="restart"/>
                  <w:tcBorders>
                    <w:top w:val="single" w:sz="4" w:space="0" w:color="FFFFFF"/>
                    <w:bottom w:val="single" w:sz="4" w:space="0" w:color="FFFFFF"/>
                    <w:right w:val="single" w:sz="4" w:space="0" w:color="FFFFFF"/>
                  </w:tcBorders>
                  <w:shd w:val="clear" w:color="auto" w:fill="auto"/>
                  <w:tcMar>
                    <w:top w:w="0" w:type="dxa"/>
                    <w:left w:w="28" w:type="dxa"/>
                    <w:bottom w:w="0" w:type="dxa"/>
                    <w:right w:w="0" w:type="dxa"/>
                  </w:tcMar>
                </w:tcPr>
                <w:p w14:paraId="6B37BC3F" w14:textId="77777777" w:rsidR="00EE4867" w:rsidRDefault="00EE4867" w:rsidP="00EE4867">
                  <w:r w:rsidRPr="00614679">
                    <w:rPr>
                      <w:rFonts w:hint="eastAsia"/>
                    </w:rPr>
                    <w:t>直径：約</w:t>
                  </w:r>
                  <w:r w:rsidRPr="00614679">
                    <w:rPr>
                      <w:rFonts w:hint="eastAsia"/>
                    </w:rPr>
                    <w:t>7.1mm</w:t>
                  </w:r>
                </w:p>
                <w:p w14:paraId="543DAA48" w14:textId="77777777" w:rsidR="00EE4867" w:rsidRDefault="00EE4867" w:rsidP="00EE4867">
                  <w:r w:rsidRPr="00614679">
                    <w:rPr>
                      <w:rFonts w:hint="eastAsia"/>
                    </w:rPr>
                    <w:t>厚さ：約</w:t>
                  </w:r>
                  <w:r w:rsidRPr="00614679">
                    <w:rPr>
                      <w:rFonts w:hint="eastAsia"/>
                    </w:rPr>
                    <w:t>3.8mm</w:t>
                  </w:r>
                </w:p>
                <w:p w14:paraId="5CBA6D7D" w14:textId="77777777" w:rsidR="00EE4867" w:rsidRPr="00850A48" w:rsidRDefault="00EE4867" w:rsidP="00EE4867">
                  <w:pPr>
                    <w:rPr>
                      <w:szCs w:val="20"/>
                    </w:rPr>
                  </w:pPr>
                  <w:r w:rsidRPr="00614679">
                    <w:rPr>
                      <w:rFonts w:hint="eastAsia"/>
                    </w:rPr>
                    <w:t>重量：</w:t>
                  </w:r>
                  <w:r w:rsidRPr="00614679">
                    <w:rPr>
                      <w:rFonts w:hint="eastAsia"/>
                    </w:rPr>
                    <w:t>126</w:t>
                  </w:r>
                  <w:r>
                    <w:rPr>
                      <w:rFonts w:hint="eastAsia"/>
                    </w:rPr>
                    <w:t>mg</w:t>
                  </w:r>
                  <w:r>
                    <w:rPr>
                      <w:rFonts w:hint="eastAsia"/>
                    </w:rPr>
                    <w:t xml:space="preserve">　</w:t>
                  </w:r>
                </w:p>
              </w:tc>
            </w:tr>
            <w:tr w:rsidR="00EE4867" w:rsidRPr="00850A48" w14:paraId="75C88DCB" w14:textId="77777777" w:rsidTr="000239FF">
              <w:trPr>
                <w:trHeight w:hRule="exact" w:val="879"/>
              </w:trPr>
              <w:tc>
                <w:tcPr>
                  <w:tcW w:w="855" w:type="dxa"/>
                  <w:shd w:val="clear" w:color="auto" w:fill="auto"/>
                  <w:tcMar>
                    <w:top w:w="0" w:type="dxa"/>
                    <w:left w:w="0" w:type="dxa"/>
                    <w:bottom w:w="0" w:type="dxa"/>
                    <w:right w:w="0" w:type="dxa"/>
                  </w:tcMar>
                  <w:vAlign w:val="center"/>
                </w:tcPr>
                <w:p w14:paraId="693E4227" w14:textId="0240EC5D" w:rsidR="00EE4867" w:rsidRPr="00614679" w:rsidRDefault="00DF04E1" w:rsidP="00EE4867">
                  <w:pPr>
                    <w:ind w:rightChars="-8" w:right="-15" w:firstLineChars="1" w:firstLine="2"/>
                  </w:pPr>
                  <w:r>
                    <w:rPr>
                      <w:noProof/>
                    </w:rPr>
                    <w:drawing>
                      <wp:inline distT="0" distB="0" distL="0" distR="0" wp14:anchorId="513109C0" wp14:editId="41CA202B">
                        <wp:extent cx="523875" cy="533400"/>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957" t="5006" r="71417" b="5006"/>
                                <a:stretch>
                                  <a:fillRect/>
                                </a:stretch>
                              </pic:blipFill>
                              <pic:spPr bwMode="auto">
                                <a:xfrm>
                                  <a:off x="0" y="0"/>
                                  <a:ext cx="523875" cy="533400"/>
                                </a:xfrm>
                                <a:prstGeom prst="rect">
                                  <a:avLst/>
                                </a:prstGeom>
                                <a:noFill/>
                                <a:ln>
                                  <a:noFill/>
                                </a:ln>
                              </pic:spPr>
                            </pic:pic>
                          </a:graphicData>
                        </a:graphic>
                      </wp:inline>
                    </w:drawing>
                  </w:r>
                </w:p>
              </w:tc>
              <w:tc>
                <w:tcPr>
                  <w:tcW w:w="855" w:type="dxa"/>
                  <w:shd w:val="clear" w:color="auto" w:fill="auto"/>
                  <w:tcMar>
                    <w:top w:w="0" w:type="dxa"/>
                    <w:left w:w="0" w:type="dxa"/>
                    <w:bottom w:w="0" w:type="dxa"/>
                    <w:right w:w="0" w:type="dxa"/>
                  </w:tcMar>
                  <w:vAlign w:val="center"/>
                </w:tcPr>
                <w:p w14:paraId="147CC5EF" w14:textId="1A1FD6B6" w:rsidR="00EE4867" w:rsidRPr="00614679" w:rsidRDefault="00DF04E1" w:rsidP="00EE4867">
                  <w:pPr>
                    <w:ind w:right="-1"/>
                    <w:jc w:val="center"/>
                  </w:pPr>
                  <w:r>
                    <w:rPr>
                      <w:noProof/>
                    </w:rPr>
                    <w:drawing>
                      <wp:inline distT="0" distB="0" distL="0" distR="0" wp14:anchorId="614FF140" wp14:editId="74130E7D">
                        <wp:extent cx="523875" cy="5334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36378" t="5006" r="36188" b="5006"/>
                                <a:stretch>
                                  <a:fillRect/>
                                </a:stretch>
                              </pic:blipFill>
                              <pic:spPr bwMode="auto">
                                <a:xfrm>
                                  <a:off x="0" y="0"/>
                                  <a:ext cx="523875" cy="533400"/>
                                </a:xfrm>
                                <a:prstGeom prst="rect">
                                  <a:avLst/>
                                </a:prstGeom>
                                <a:noFill/>
                                <a:ln>
                                  <a:noFill/>
                                </a:ln>
                              </pic:spPr>
                            </pic:pic>
                          </a:graphicData>
                        </a:graphic>
                      </wp:inline>
                    </w:drawing>
                  </w:r>
                </w:p>
              </w:tc>
              <w:tc>
                <w:tcPr>
                  <w:tcW w:w="855" w:type="dxa"/>
                  <w:shd w:val="clear" w:color="auto" w:fill="auto"/>
                  <w:tcMar>
                    <w:top w:w="0" w:type="dxa"/>
                    <w:left w:w="0" w:type="dxa"/>
                    <w:bottom w:w="0" w:type="dxa"/>
                    <w:right w:w="0" w:type="dxa"/>
                  </w:tcMar>
                  <w:vAlign w:val="center"/>
                </w:tcPr>
                <w:p w14:paraId="11C22DA8" w14:textId="2793147A" w:rsidR="00EE4867" w:rsidRPr="00614679" w:rsidRDefault="00DF04E1" w:rsidP="00EE4867">
                  <w:pPr>
                    <w:jc w:val="center"/>
                  </w:pPr>
                  <w:r>
                    <w:rPr>
                      <w:noProof/>
                    </w:rPr>
                    <w:drawing>
                      <wp:inline distT="0" distB="0" distL="0" distR="0" wp14:anchorId="52E710AC" wp14:editId="0E427BC6">
                        <wp:extent cx="514350" cy="53340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71992" t="5006" r="1532" b="5006"/>
                                <a:stretch>
                                  <a:fillRect/>
                                </a:stretch>
                              </pic:blipFill>
                              <pic:spPr bwMode="auto">
                                <a:xfrm>
                                  <a:off x="0" y="0"/>
                                  <a:ext cx="514350" cy="533400"/>
                                </a:xfrm>
                                <a:prstGeom prst="rect">
                                  <a:avLst/>
                                </a:prstGeom>
                                <a:noFill/>
                                <a:ln>
                                  <a:noFill/>
                                </a:ln>
                              </pic:spPr>
                            </pic:pic>
                          </a:graphicData>
                        </a:graphic>
                      </wp:inline>
                    </w:drawing>
                  </w:r>
                </w:p>
              </w:tc>
              <w:tc>
                <w:tcPr>
                  <w:tcW w:w="1502" w:type="dxa"/>
                  <w:vMerge/>
                  <w:tcBorders>
                    <w:bottom w:val="single" w:sz="4" w:space="0" w:color="FFFFFF"/>
                    <w:right w:val="single" w:sz="4" w:space="0" w:color="FFFFFF"/>
                  </w:tcBorders>
                  <w:shd w:val="clear" w:color="auto" w:fill="auto"/>
                  <w:tcMar>
                    <w:top w:w="0" w:type="dxa"/>
                    <w:bottom w:w="0" w:type="dxa"/>
                  </w:tcMar>
                </w:tcPr>
                <w:p w14:paraId="615E329D" w14:textId="77777777" w:rsidR="00EE4867" w:rsidRPr="00614679" w:rsidRDefault="00EE4867" w:rsidP="00EE4867"/>
              </w:tc>
            </w:tr>
          </w:tbl>
          <w:p w14:paraId="29F4A001" w14:textId="77777777" w:rsidR="00EE4867" w:rsidRPr="00866A4E" w:rsidRDefault="00EE4867" w:rsidP="00EE4867">
            <w:pPr>
              <w:spacing w:beforeLines="50" w:before="148"/>
              <w:rPr>
                <w:rFonts w:ascii="ＭＳ 明朝" w:hAnsi="ＭＳ 明朝"/>
                <w:szCs w:val="20"/>
              </w:rPr>
            </w:pPr>
            <w:r>
              <w:rPr>
                <w:rFonts w:hint="eastAsia"/>
                <w:szCs w:val="20"/>
              </w:rPr>
              <w:t>識別コード：</w:t>
            </w:r>
            <w:r>
              <w:rPr>
                <w:rFonts w:hint="eastAsia"/>
                <w:szCs w:val="20"/>
              </w:rPr>
              <w:t>YD</w:t>
            </w:r>
            <w:r>
              <w:rPr>
                <w:rFonts w:hint="eastAsia"/>
                <w:szCs w:val="20"/>
              </w:rPr>
              <w:t xml:space="preserve">　</w:t>
            </w:r>
            <w:r>
              <w:rPr>
                <w:rFonts w:hint="eastAsia"/>
                <w:szCs w:val="20"/>
              </w:rPr>
              <w:t>966</w:t>
            </w:r>
          </w:p>
        </w:tc>
        <w:tc>
          <w:tcPr>
            <w:tcW w:w="4185" w:type="dxa"/>
            <w:tcBorders>
              <w:bottom w:val="single" w:sz="4" w:space="0" w:color="auto"/>
            </w:tcBorders>
          </w:tcPr>
          <w:p w14:paraId="28AB1890" w14:textId="77777777" w:rsidR="00EE4867" w:rsidRDefault="00EE4867" w:rsidP="00EE4867">
            <w:pPr>
              <w:rPr>
                <w:szCs w:val="20"/>
              </w:rPr>
            </w:pPr>
            <w:r>
              <w:rPr>
                <w:rFonts w:hint="eastAsia"/>
                <w:szCs w:val="20"/>
              </w:rPr>
              <w:t>白</w:t>
            </w:r>
            <w:r>
              <w:rPr>
                <w:rFonts w:hint="eastAsia"/>
              </w:rPr>
              <w:t>色</w:t>
            </w:r>
            <w:r w:rsidRPr="00857732">
              <w:rPr>
                <w:rFonts w:hint="eastAsia"/>
                <w:szCs w:val="20"/>
              </w:rPr>
              <w:t>の</w:t>
            </w:r>
            <w:r>
              <w:rPr>
                <w:rFonts w:hint="eastAsia"/>
              </w:rPr>
              <w:t>フィルムコーティング</w:t>
            </w:r>
            <w:r w:rsidRPr="0036602B">
              <w:rPr>
                <w:rFonts w:hint="eastAsia"/>
              </w:rPr>
              <w:t>錠</w:t>
            </w:r>
          </w:p>
          <w:p w14:paraId="46DA09C1" w14:textId="77777777" w:rsidR="00EE4867" w:rsidRPr="00C44F81" w:rsidRDefault="00EE4867" w:rsidP="00EE4867">
            <w:pPr>
              <w:tabs>
                <w:tab w:val="left" w:pos="882"/>
              </w:tabs>
              <w:rPr>
                <w:rFonts w:ascii="ＭＳ 明朝" w:hAnsi="ＭＳ 明朝"/>
                <w:szCs w:val="20"/>
              </w:rPr>
            </w:pPr>
            <w:r w:rsidRPr="00C44F81">
              <w:rPr>
                <w:rFonts w:hint="eastAsia"/>
                <w:szCs w:val="20"/>
              </w:rPr>
              <w:t>直径：</w:t>
            </w:r>
            <w:r>
              <w:rPr>
                <w:rFonts w:hint="eastAsia"/>
                <w:szCs w:val="20"/>
              </w:rPr>
              <w:t>6.6</w:t>
            </w:r>
            <w:r w:rsidRPr="00C44F81">
              <w:rPr>
                <w:rFonts w:hint="eastAsia"/>
                <w:szCs w:val="20"/>
              </w:rPr>
              <w:t>mm</w:t>
            </w:r>
            <w:r w:rsidRPr="00C44F81">
              <w:rPr>
                <w:szCs w:val="20"/>
              </w:rPr>
              <w:br/>
            </w:r>
            <w:r w:rsidRPr="00C44F81">
              <w:rPr>
                <w:rFonts w:hint="eastAsia"/>
                <w:szCs w:val="20"/>
              </w:rPr>
              <w:t>厚さ：</w:t>
            </w:r>
            <w:r>
              <w:rPr>
                <w:rFonts w:hint="eastAsia"/>
                <w:szCs w:val="20"/>
              </w:rPr>
              <w:t>3.0</w:t>
            </w:r>
            <w:r w:rsidRPr="00C44F81">
              <w:rPr>
                <w:rFonts w:hint="eastAsia"/>
                <w:szCs w:val="20"/>
              </w:rPr>
              <w:t>mm</w:t>
            </w:r>
            <w:r w:rsidRPr="00C44F81">
              <w:rPr>
                <w:szCs w:val="20"/>
              </w:rPr>
              <w:br/>
            </w:r>
            <w:r w:rsidRPr="00C44F81">
              <w:rPr>
                <w:rFonts w:hint="eastAsia"/>
                <w:szCs w:val="20"/>
              </w:rPr>
              <w:t>重量：</w:t>
            </w:r>
            <w:r>
              <w:rPr>
                <w:rFonts w:hint="eastAsia"/>
                <w:szCs w:val="20"/>
              </w:rPr>
              <w:t>90mg</w:t>
            </w:r>
          </w:p>
        </w:tc>
      </w:tr>
      <w:tr w:rsidR="00EE4867" w14:paraId="323AB5E4" w14:textId="77777777" w:rsidTr="00EE4867">
        <w:trPr>
          <w:trHeight w:val="3160"/>
        </w:trPr>
        <w:tc>
          <w:tcPr>
            <w:tcW w:w="1769" w:type="dxa"/>
            <w:vAlign w:val="center"/>
          </w:tcPr>
          <w:p w14:paraId="4F75BD70" w14:textId="77777777" w:rsidR="00EE4867" w:rsidRPr="00DC731A" w:rsidRDefault="00EE4867" w:rsidP="00EE4867">
            <w:pPr>
              <w:jc w:val="distribute"/>
              <w:rPr>
                <w:rFonts w:ascii="Arial" w:eastAsia="ＭＳ ゴシック" w:hAnsi="Arial"/>
              </w:rPr>
            </w:pPr>
            <w:r w:rsidRPr="00DC731A">
              <w:rPr>
                <w:rFonts w:ascii="Arial" w:eastAsia="ＭＳ ゴシック" w:hAnsi="ＭＳ ゴシック" w:hint="eastAsia"/>
              </w:rPr>
              <w:t>先発品との</w:t>
            </w:r>
          </w:p>
          <w:p w14:paraId="72F16167" w14:textId="77777777" w:rsidR="00EE4867" w:rsidRPr="00DC731A" w:rsidRDefault="00EE4867" w:rsidP="00EE4867">
            <w:pPr>
              <w:jc w:val="distribute"/>
              <w:rPr>
                <w:rFonts w:ascii="Arial" w:eastAsia="ＭＳ ゴシック" w:hAnsi="Arial"/>
                <w:sz w:val="22"/>
              </w:rPr>
            </w:pPr>
            <w:r w:rsidRPr="00DC731A">
              <w:rPr>
                <w:rFonts w:ascii="Arial" w:eastAsia="ＭＳ ゴシック" w:hAnsi="ＭＳ ゴシック" w:hint="eastAsia"/>
              </w:rPr>
              <w:t>同等性</w:t>
            </w:r>
          </w:p>
        </w:tc>
        <w:tc>
          <w:tcPr>
            <w:tcW w:w="8369" w:type="dxa"/>
            <w:gridSpan w:val="2"/>
          </w:tcPr>
          <w:p w14:paraId="3132A5F4" w14:textId="77777777" w:rsidR="00EE4867" w:rsidRPr="003A196B" w:rsidRDefault="00EE4867" w:rsidP="00EE4867">
            <w:pPr>
              <w:widowControl w:val="0"/>
              <w:autoSpaceDE w:val="0"/>
              <w:autoSpaceDN w:val="0"/>
              <w:adjustRightInd w:val="0"/>
              <w:rPr>
                <w:rFonts w:ascii="Arial" w:eastAsia="ＭＳ ゴシック" w:hAnsi="ＭＳ ゴシック"/>
                <w:szCs w:val="20"/>
              </w:rPr>
            </w:pPr>
            <w:r w:rsidRPr="00DC731A">
              <w:rPr>
                <w:rFonts w:ascii="Arial" w:eastAsia="ＭＳ ゴシック" w:hAnsi="ＭＳ ゴシック" w:hint="eastAsia"/>
              </w:rPr>
              <w:t>溶出試験（試験液：水</w:t>
            </w:r>
            <w:r>
              <w:rPr>
                <w:rFonts w:ascii="Arial" w:eastAsia="ＭＳ ゴシック" w:hAnsi="ＭＳ ゴシック" w:hint="eastAsia"/>
              </w:rPr>
              <w:t xml:space="preserve">　</w:t>
            </w:r>
            <w:r>
              <w:rPr>
                <w:rFonts w:ascii="Arial" w:eastAsia="ＭＳ ゴシック" w:hAnsi="ＭＳ ゴシック" w:hint="eastAsia"/>
              </w:rPr>
              <w:t>50rpm</w:t>
            </w:r>
            <w:r w:rsidRPr="00DC731A">
              <w:rPr>
                <w:rFonts w:ascii="Arial" w:eastAsia="ＭＳ ゴシック" w:hAnsi="ＭＳ ゴシック" w:hint="eastAsia"/>
              </w:rPr>
              <w:t>）、標準</w:t>
            </w:r>
            <w:r>
              <w:rPr>
                <w:rFonts w:ascii="Arial" w:eastAsia="ＭＳ ゴシック" w:hAnsi="ＭＳ ゴシック" w:hint="eastAsia"/>
              </w:rPr>
              <w:t>製剤</w:t>
            </w:r>
            <w:r w:rsidRPr="00DC731A">
              <w:rPr>
                <w:rFonts w:ascii="Arial" w:eastAsia="ＭＳ ゴシック" w:hAnsi="ＭＳ ゴシック" w:hint="eastAsia"/>
              </w:rPr>
              <w:t>：サルポグレラート塩酸塩錠</w:t>
            </w:r>
            <w:r w:rsidRPr="003A196B">
              <w:rPr>
                <w:rFonts w:ascii="Arial" w:eastAsia="ＭＳ ゴシック" w:hAnsi="ＭＳ ゴシック" w:hint="eastAsia"/>
              </w:rPr>
              <w:t>100mg</w:t>
            </w:r>
            <w:r w:rsidRPr="003A196B">
              <w:rPr>
                <w:rFonts w:ascii="Arial" w:eastAsia="ＭＳ ゴシック" w:hAnsi="ＭＳ ゴシック" w:hint="eastAsia"/>
              </w:rPr>
              <w:t>「</w:t>
            </w:r>
            <w:r w:rsidRPr="003A196B">
              <w:rPr>
                <w:rFonts w:ascii="Arial" w:eastAsia="ＭＳ ゴシック" w:hAnsi="ＭＳ ゴシック" w:hint="eastAsia"/>
              </w:rPr>
              <w:t>YD</w:t>
            </w:r>
            <w:r w:rsidRPr="003A196B">
              <w:rPr>
                <w:rFonts w:ascii="Arial" w:eastAsia="ＭＳ ゴシック" w:hAnsi="ＭＳ ゴシック" w:hint="eastAsia"/>
              </w:rPr>
              <w:t>」</w:t>
            </w:r>
          </w:p>
          <w:p w14:paraId="7F154D17" w14:textId="774229C2" w:rsidR="00EE4867" w:rsidRPr="00DC731A" w:rsidRDefault="00DF04E1" w:rsidP="00EE4867">
            <w:pPr>
              <w:tabs>
                <w:tab w:val="left" w:pos="1132"/>
              </w:tabs>
              <w:snapToGrid w:val="0"/>
              <w:jc w:val="center"/>
              <w:rPr>
                <w:sz w:val="16"/>
              </w:rPr>
            </w:pPr>
            <w:r>
              <w:rPr>
                <w:noProof/>
              </w:rPr>
              <w:drawing>
                <wp:inline distT="0" distB="0" distL="0" distR="0" wp14:anchorId="057769F5" wp14:editId="0FB85DFE">
                  <wp:extent cx="3276600" cy="2314575"/>
                  <wp:effectExtent l="0" t="0" r="0" b="0"/>
                  <wp:docPr id="4" name="グラフ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グラフ 1"/>
                          <pic:cNvPicPr>
                            <a:picLocks noChangeAspect="1" noChangeArrowheads="1"/>
                          </pic:cNvPicPr>
                        </pic:nvPicPr>
                        <pic:blipFill>
                          <a:blip r:embed="rId8" cstate="print">
                            <a:extLst>
                              <a:ext uri="{28A0092B-C50C-407E-A947-70E740481C1C}">
                                <a14:useLocalDpi xmlns:a14="http://schemas.microsoft.com/office/drawing/2010/main" val="0"/>
                              </a:ext>
                            </a:extLst>
                          </a:blip>
                          <a:srcRect t="4436"/>
                          <a:stretch>
                            <a:fillRect/>
                          </a:stretch>
                        </pic:blipFill>
                        <pic:spPr bwMode="auto">
                          <a:xfrm>
                            <a:off x="0" y="0"/>
                            <a:ext cx="3276600" cy="2314575"/>
                          </a:xfrm>
                          <a:prstGeom prst="rect">
                            <a:avLst/>
                          </a:prstGeom>
                          <a:noFill/>
                          <a:ln>
                            <a:noFill/>
                          </a:ln>
                        </pic:spPr>
                      </pic:pic>
                    </a:graphicData>
                  </a:graphic>
                </wp:inline>
              </w:drawing>
            </w:r>
          </w:p>
          <w:p w14:paraId="6F3B682F" w14:textId="77777777" w:rsidR="00EE4867" w:rsidRDefault="00EE4867" w:rsidP="00EE4867">
            <w:pPr>
              <w:spacing w:beforeLines="50" w:before="148"/>
              <w:rPr>
                <w:sz w:val="16"/>
              </w:rPr>
            </w:pPr>
            <w:r w:rsidRPr="00DC731A">
              <w:rPr>
                <w:rFonts w:hint="eastAsia"/>
                <w:sz w:val="16"/>
              </w:rPr>
              <w:t>「含量が異なる経口固形製剤の生物学的同等性試験ガイドライン」に基づき</w:t>
            </w:r>
            <w:r>
              <w:rPr>
                <w:rFonts w:hint="eastAsia"/>
                <w:sz w:val="16"/>
              </w:rPr>
              <w:t>判定した結果、</w:t>
            </w:r>
            <w:r w:rsidRPr="00DC731A">
              <w:rPr>
                <w:rFonts w:hint="eastAsia"/>
                <w:sz w:val="16"/>
              </w:rPr>
              <w:t>両製剤の溶出挙動は同等であ</w:t>
            </w:r>
            <w:r>
              <w:rPr>
                <w:rFonts w:hint="eastAsia"/>
                <w:sz w:val="16"/>
              </w:rPr>
              <w:t>り、両製剤は生物学的に同等であると判定</w:t>
            </w:r>
            <w:r w:rsidRPr="00DC731A">
              <w:rPr>
                <w:rFonts w:hint="eastAsia"/>
                <w:sz w:val="16"/>
              </w:rPr>
              <w:t>された。</w:t>
            </w:r>
          </w:p>
          <w:p w14:paraId="5518C497" w14:textId="77777777" w:rsidR="00EE4867" w:rsidRPr="006140E2" w:rsidRDefault="00EE4867" w:rsidP="00EE4867">
            <w:pPr>
              <w:rPr>
                <w:sz w:val="16"/>
                <w:szCs w:val="16"/>
              </w:rPr>
            </w:pPr>
            <w:r>
              <w:rPr>
                <w:rFonts w:hint="eastAsia"/>
                <w:sz w:val="16"/>
              </w:rPr>
              <w:t>なお、標準製剤はヒトを対象とした生物学的同等性試験において先発医薬品との生物学的同等性が確認されている。</w:t>
            </w:r>
          </w:p>
        </w:tc>
      </w:tr>
      <w:tr w:rsidR="00EE4867" w14:paraId="2AFBEB5C" w14:textId="77777777" w:rsidTr="00EE4867">
        <w:trPr>
          <w:trHeight w:hRule="exact" w:val="312"/>
        </w:trPr>
        <w:tc>
          <w:tcPr>
            <w:tcW w:w="1769" w:type="dxa"/>
            <w:tcBorders>
              <w:bottom w:val="single" w:sz="4" w:space="0" w:color="auto"/>
            </w:tcBorders>
            <w:vAlign w:val="center"/>
          </w:tcPr>
          <w:p w14:paraId="719556A5" w14:textId="77777777" w:rsidR="00EE4867" w:rsidRPr="00DC731A" w:rsidRDefault="00EE4867" w:rsidP="00EE4867">
            <w:pPr>
              <w:jc w:val="distribute"/>
              <w:rPr>
                <w:rFonts w:ascii="Arial" w:eastAsia="ＭＳ ゴシック" w:hAnsi="Arial"/>
              </w:rPr>
            </w:pPr>
            <w:r w:rsidRPr="00DC731A">
              <w:rPr>
                <w:rFonts w:ascii="Arial" w:eastAsia="ＭＳ ゴシック" w:hAnsi="ＭＳ ゴシック" w:hint="eastAsia"/>
              </w:rPr>
              <w:t>備考</w:t>
            </w:r>
          </w:p>
        </w:tc>
        <w:tc>
          <w:tcPr>
            <w:tcW w:w="8369" w:type="dxa"/>
            <w:gridSpan w:val="2"/>
            <w:tcBorders>
              <w:bottom w:val="single" w:sz="4" w:space="0" w:color="auto"/>
            </w:tcBorders>
            <w:vAlign w:val="center"/>
          </w:tcPr>
          <w:p w14:paraId="0929FDD8" w14:textId="77777777" w:rsidR="00EE4867" w:rsidRPr="00512D05" w:rsidRDefault="00EE4867" w:rsidP="00EE4867"/>
        </w:tc>
      </w:tr>
      <w:tr w:rsidR="00EE4867" w14:paraId="089B0828" w14:textId="77777777" w:rsidTr="00EE4867">
        <w:trPr>
          <w:trHeight w:hRule="exact" w:val="312"/>
        </w:trPr>
        <w:tc>
          <w:tcPr>
            <w:tcW w:w="1769" w:type="dxa"/>
            <w:vAlign w:val="center"/>
          </w:tcPr>
          <w:p w14:paraId="1D81027D" w14:textId="77777777" w:rsidR="00EE4867" w:rsidRPr="00DC731A" w:rsidRDefault="00EE4867" w:rsidP="00EE4867">
            <w:pPr>
              <w:jc w:val="distribute"/>
              <w:rPr>
                <w:rFonts w:ascii="Arial" w:eastAsia="ＭＳ ゴシック" w:hAnsi="Arial"/>
              </w:rPr>
            </w:pPr>
            <w:r w:rsidRPr="00DC731A">
              <w:rPr>
                <w:rFonts w:ascii="Arial" w:eastAsia="ＭＳ ゴシック" w:hAnsi="ＭＳ ゴシック" w:hint="eastAsia"/>
              </w:rPr>
              <w:t>担当者、連絡先</w:t>
            </w:r>
          </w:p>
        </w:tc>
        <w:tc>
          <w:tcPr>
            <w:tcW w:w="8369" w:type="dxa"/>
            <w:gridSpan w:val="2"/>
            <w:vAlign w:val="center"/>
          </w:tcPr>
          <w:p w14:paraId="7949359F" w14:textId="77777777" w:rsidR="00EE4867" w:rsidRDefault="00EE4867" w:rsidP="00EE4867">
            <w:pPr>
              <w:rPr>
                <w:rFonts w:ascii="ＭＳ ゴシック" w:eastAsia="ＭＳ ゴシック" w:hAnsi="ＭＳ ゴシック"/>
                <w:sz w:val="22"/>
              </w:rPr>
            </w:pPr>
          </w:p>
        </w:tc>
      </w:tr>
    </w:tbl>
    <w:p w14:paraId="3E948F84" w14:textId="579CFD3C" w:rsidR="005D7609" w:rsidRDefault="00D96E98" w:rsidP="00DC731A">
      <w:pPr>
        <w:tabs>
          <w:tab w:val="right" w:pos="9865"/>
        </w:tabs>
        <w:jc w:val="right"/>
      </w:pPr>
      <w:r>
        <w:rPr>
          <w:rFonts w:hint="eastAsia"/>
        </w:rPr>
        <w:t>20</w:t>
      </w:r>
      <w:r w:rsidR="009B4420">
        <w:t>2</w:t>
      </w:r>
      <w:r w:rsidR="00DF04E1">
        <w:rPr>
          <w:rFonts w:hint="eastAsia"/>
        </w:rPr>
        <w:t>4</w:t>
      </w:r>
      <w:r w:rsidR="008E4A0D">
        <w:rPr>
          <w:rFonts w:hint="eastAsia"/>
        </w:rPr>
        <w:t>年</w:t>
      </w:r>
      <w:r w:rsidR="00786A26">
        <w:t>4</w:t>
      </w:r>
      <w:r w:rsidR="008E4A0D">
        <w:rPr>
          <w:rFonts w:hint="eastAsia"/>
        </w:rPr>
        <w:t>月</w:t>
      </w:r>
    </w:p>
    <w:p w14:paraId="6452A281" w14:textId="77777777" w:rsidR="008E4A0D" w:rsidRDefault="008E4A0D"/>
    <w:sectPr w:rsidR="008E4A0D" w:rsidSect="00E03C6F">
      <w:headerReference w:type="default" r:id="rId9"/>
      <w:pgSz w:w="11906" w:h="16838" w:code="9"/>
      <w:pgMar w:top="1134" w:right="737" w:bottom="567"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72FD" w14:textId="77777777" w:rsidR="002F612F" w:rsidRDefault="002F612F">
      <w:r>
        <w:separator/>
      </w:r>
    </w:p>
  </w:endnote>
  <w:endnote w:type="continuationSeparator" w:id="0">
    <w:p w14:paraId="4D4EAB2D" w14:textId="77777777" w:rsidR="002F612F" w:rsidRDefault="002F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38800" w14:textId="77777777" w:rsidR="002F612F" w:rsidRDefault="002F612F">
      <w:r>
        <w:separator/>
      </w:r>
    </w:p>
  </w:footnote>
  <w:footnote w:type="continuationSeparator" w:id="0">
    <w:p w14:paraId="39A555DA" w14:textId="77777777" w:rsidR="002F612F" w:rsidRDefault="002F6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6FBB" w14:textId="77777777" w:rsidR="005D7609" w:rsidRDefault="005D760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2110422371">
    <w:abstractNumId w:val="0"/>
  </w:num>
  <w:num w:numId="2" w16cid:durableId="1763456113">
    <w:abstractNumId w:val="3"/>
  </w:num>
  <w:num w:numId="3" w16cid:durableId="1422019388">
    <w:abstractNumId w:val="2"/>
  </w:num>
  <w:num w:numId="4" w16cid:durableId="1468669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58D0"/>
    <w:rsid w:val="00016D81"/>
    <w:rsid w:val="00020621"/>
    <w:rsid w:val="00022F75"/>
    <w:rsid w:val="000239FF"/>
    <w:rsid w:val="00057369"/>
    <w:rsid w:val="00063980"/>
    <w:rsid w:val="00075BDE"/>
    <w:rsid w:val="0008386E"/>
    <w:rsid w:val="00087201"/>
    <w:rsid w:val="000A1539"/>
    <w:rsid w:val="000B68BC"/>
    <w:rsid w:val="001079CB"/>
    <w:rsid w:val="00113C62"/>
    <w:rsid w:val="00136290"/>
    <w:rsid w:val="00140B6E"/>
    <w:rsid w:val="001607EA"/>
    <w:rsid w:val="001752FC"/>
    <w:rsid w:val="00181C13"/>
    <w:rsid w:val="0019592F"/>
    <w:rsid w:val="001B055A"/>
    <w:rsid w:val="001D6D38"/>
    <w:rsid w:val="001E19FE"/>
    <w:rsid w:val="001E3EB8"/>
    <w:rsid w:val="001E7B46"/>
    <w:rsid w:val="001F656B"/>
    <w:rsid w:val="002217E6"/>
    <w:rsid w:val="00230A92"/>
    <w:rsid w:val="002433DF"/>
    <w:rsid w:val="002706D1"/>
    <w:rsid w:val="002A4FB6"/>
    <w:rsid w:val="002C11E6"/>
    <w:rsid w:val="002D63BB"/>
    <w:rsid w:val="002E0A62"/>
    <w:rsid w:val="002F612F"/>
    <w:rsid w:val="003075C1"/>
    <w:rsid w:val="003101D6"/>
    <w:rsid w:val="0037411B"/>
    <w:rsid w:val="00374471"/>
    <w:rsid w:val="00376083"/>
    <w:rsid w:val="00377682"/>
    <w:rsid w:val="00382CAC"/>
    <w:rsid w:val="00393027"/>
    <w:rsid w:val="0039429F"/>
    <w:rsid w:val="003A196B"/>
    <w:rsid w:val="003A1A60"/>
    <w:rsid w:val="003A56B2"/>
    <w:rsid w:val="003B58EF"/>
    <w:rsid w:val="004119E4"/>
    <w:rsid w:val="004646FC"/>
    <w:rsid w:val="00467BCC"/>
    <w:rsid w:val="00473792"/>
    <w:rsid w:val="004820EC"/>
    <w:rsid w:val="00486BC2"/>
    <w:rsid w:val="00486CD5"/>
    <w:rsid w:val="004931F4"/>
    <w:rsid w:val="004A11F4"/>
    <w:rsid w:val="004B7FCF"/>
    <w:rsid w:val="004D4F68"/>
    <w:rsid w:val="004D6A9C"/>
    <w:rsid w:val="004E12B9"/>
    <w:rsid w:val="00512D05"/>
    <w:rsid w:val="00555511"/>
    <w:rsid w:val="005656A6"/>
    <w:rsid w:val="005745A0"/>
    <w:rsid w:val="00580FCC"/>
    <w:rsid w:val="0058377E"/>
    <w:rsid w:val="00594C39"/>
    <w:rsid w:val="005B1C19"/>
    <w:rsid w:val="005C1D20"/>
    <w:rsid w:val="005D7609"/>
    <w:rsid w:val="005E1916"/>
    <w:rsid w:val="006140E2"/>
    <w:rsid w:val="006257B2"/>
    <w:rsid w:val="00625B33"/>
    <w:rsid w:val="00643FC9"/>
    <w:rsid w:val="00650848"/>
    <w:rsid w:val="00652190"/>
    <w:rsid w:val="00654341"/>
    <w:rsid w:val="0068091E"/>
    <w:rsid w:val="006975A1"/>
    <w:rsid w:val="006C1E12"/>
    <w:rsid w:val="006D06B7"/>
    <w:rsid w:val="006D2DE6"/>
    <w:rsid w:val="006E1DD6"/>
    <w:rsid w:val="00714438"/>
    <w:rsid w:val="00716D4A"/>
    <w:rsid w:val="007201AF"/>
    <w:rsid w:val="00743E15"/>
    <w:rsid w:val="00783C6A"/>
    <w:rsid w:val="00785C7F"/>
    <w:rsid w:val="00786A26"/>
    <w:rsid w:val="007912EA"/>
    <w:rsid w:val="007A2541"/>
    <w:rsid w:val="007C0A0A"/>
    <w:rsid w:val="007E1140"/>
    <w:rsid w:val="008037B6"/>
    <w:rsid w:val="00807D54"/>
    <w:rsid w:val="00850A48"/>
    <w:rsid w:val="0085462A"/>
    <w:rsid w:val="00857732"/>
    <w:rsid w:val="00861BF2"/>
    <w:rsid w:val="00861F9B"/>
    <w:rsid w:val="00866A4E"/>
    <w:rsid w:val="00867318"/>
    <w:rsid w:val="008673EE"/>
    <w:rsid w:val="00873433"/>
    <w:rsid w:val="00874447"/>
    <w:rsid w:val="00876E96"/>
    <w:rsid w:val="00893052"/>
    <w:rsid w:val="008C2DAE"/>
    <w:rsid w:val="008E05D5"/>
    <w:rsid w:val="008E4A0D"/>
    <w:rsid w:val="0095009F"/>
    <w:rsid w:val="009545EB"/>
    <w:rsid w:val="009672D3"/>
    <w:rsid w:val="00984003"/>
    <w:rsid w:val="009B4420"/>
    <w:rsid w:val="009C256D"/>
    <w:rsid w:val="009C2630"/>
    <w:rsid w:val="009D6935"/>
    <w:rsid w:val="009D6CCC"/>
    <w:rsid w:val="009F35C3"/>
    <w:rsid w:val="009F75D1"/>
    <w:rsid w:val="00A007EF"/>
    <w:rsid w:val="00A07497"/>
    <w:rsid w:val="00A22DE8"/>
    <w:rsid w:val="00A24578"/>
    <w:rsid w:val="00A402CD"/>
    <w:rsid w:val="00A44188"/>
    <w:rsid w:val="00A67C29"/>
    <w:rsid w:val="00A7137B"/>
    <w:rsid w:val="00AB740D"/>
    <w:rsid w:val="00AE0C87"/>
    <w:rsid w:val="00AE1D94"/>
    <w:rsid w:val="00AF401C"/>
    <w:rsid w:val="00B015F4"/>
    <w:rsid w:val="00B016F8"/>
    <w:rsid w:val="00B04B69"/>
    <w:rsid w:val="00B1097B"/>
    <w:rsid w:val="00B24549"/>
    <w:rsid w:val="00B34AB3"/>
    <w:rsid w:val="00B53248"/>
    <w:rsid w:val="00B53EA6"/>
    <w:rsid w:val="00B60FE7"/>
    <w:rsid w:val="00B6747C"/>
    <w:rsid w:val="00B7019D"/>
    <w:rsid w:val="00B840E5"/>
    <w:rsid w:val="00B978E2"/>
    <w:rsid w:val="00BA39E6"/>
    <w:rsid w:val="00BA49CC"/>
    <w:rsid w:val="00BC012E"/>
    <w:rsid w:val="00BC07F9"/>
    <w:rsid w:val="00BC5A3D"/>
    <w:rsid w:val="00BD15DE"/>
    <w:rsid w:val="00BD2F67"/>
    <w:rsid w:val="00BE570C"/>
    <w:rsid w:val="00BF50BB"/>
    <w:rsid w:val="00BF511D"/>
    <w:rsid w:val="00C00299"/>
    <w:rsid w:val="00C21FEC"/>
    <w:rsid w:val="00C44F81"/>
    <w:rsid w:val="00C4572A"/>
    <w:rsid w:val="00C50633"/>
    <w:rsid w:val="00C55AA3"/>
    <w:rsid w:val="00C73F9E"/>
    <w:rsid w:val="00CA409E"/>
    <w:rsid w:val="00CA4239"/>
    <w:rsid w:val="00CB7F28"/>
    <w:rsid w:val="00CC5333"/>
    <w:rsid w:val="00D00814"/>
    <w:rsid w:val="00D036C8"/>
    <w:rsid w:val="00D16D3B"/>
    <w:rsid w:val="00D3032F"/>
    <w:rsid w:val="00D4253A"/>
    <w:rsid w:val="00D624C8"/>
    <w:rsid w:val="00D70671"/>
    <w:rsid w:val="00D761B1"/>
    <w:rsid w:val="00D7648B"/>
    <w:rsid w:val="00D76ABD"/>
    <w:rsid w:val="00D8557C"/>
    <w:rsid w:val="00D87620"/>
    <w:rsid w:val="00D90353"/>
    <w:rsid w:val="00D96B90"/>
    <w:rsid w:val="00D96E98"/>
    <w:rsid w:val="00DA0680"/>
    <w:rsid w:val="00DA53A6"/>
    <w:rsid w:val="00DA5423"/>
    <w:rsid w:val="00DA66A4"/>
    <w:rsid w:val="00DC510A"/>
    <w:rsid w:val="00DC63E9"/>
    <w:rsid w:val="00DC731A"/>
    <w:rsid w:val="00DD6AB1"/>
    <w:rsid w:val="00DD6E98"/>
    <w:rsid w:val="00DF04E1"/>
    <w:rsid w:val="00DF39F2"/>
    <w:rsid w:val="00E021B7"/>
    <w:rsid w:val="00E03C6F"/>
    <w:rsid w:val="00E03E31"/>
    <w:rsid w:val="00E436DD"/>
    <w:rsid w:val="00E44DBD"/>
    <w:rsid w:val="00E555EC"/>
    <w:rsid w:val="00E6091D"/>
    <w:rsid w:val="00E75C03"/>
    <w:rsid w:val="00E86019"/>
    <w:rsid w:val="00E9051B"/>
    <w:rsid w:val="00EA5A3F"/>
    <w:rsid w:val="00EC1573"/>
    <w:rsid w:val="00ED432F"/>
    <w:rsid w:val="00ED49FC"/>
    <w:rsid w:val="00ED5F34"/>
    <w:rsid w:val="00ED6938"/>
    <w:rsid w:val="00EE3355"/>
    <w:rsid w:val="00EE4867"/>
    <w:rsid w:val="00EE4CFC"/>
    <w:rsid w:val="00EE5D5B"/>
    <w:rsid w:val="00EF7976"/>
    <w:rsid w:val="00F02E36"/>
    <w:rsid w:val="00F117BB"/>
    <w:rsid w:val="00F27507"/>
    <w:rsid w:val="00F81049"/>
    <w:rsid w:val="00F92B9F"/>
    <w:rsid w:val="00FA1BA6"/>
    <w:rsid w:val="00FA68A1"/>
    <w:rsid w:val="00FE14B8"/>
    <w:rsid w:val="00FF4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34B2971C"/>
  <w15:chartTrackingRefBased/>
  <w15:docId w15:val="{943524E2-0537-4094-BFE9-9E7CF79B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608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alloon Text"/>
    <w:basedOn w:val="a"/>
    <w:semiHidden/>
    <w:rsid w:val="00486BC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サルポグレラート塩酸塩錠50mg「YD」製品別比較表2204(案)</vt:lpstr>
      <vt:lpstr>後　　発　　品</vt:lpstr>
    </vt:vector>
  </TitlesOfParts>
  <Company>大原薬品工業株式会社</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サルポグレラート塩酸塩錠50mg「YD」製品別比較表2204(案)</dc:title>
  <dc:subject/>
  <dc:creator>SUZUKI YUMINA / 鈴木 由実奈</dc:creator>
  <cp:keywords/>
  <cp:lastModifiedBy>KITAMURA TOSHINARI / 北村 俊成</cp:lastModifiedBy>
  <cp:revision>2</cp:revision>
  <cp:lastPrinted>2010-07-28T07:22:00Z</cp:lastPrinted>
  <dcterms:created xsi:type="dcterms:W3CDTF">2024-03-14T00:54:00Z</dcterms:created>
  <dcterms:modified xsi:type="dcterms:W3CDTF">2024-03-14T00:54:00Z</dcterms:modified>
</cp:coreProperties>
</file>